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00" w:rsidRPr="00BC61A0" w:rsidRDefault="00B22500" w:rsidP="00BC61A0">
      <w:pPr>
        <w:pBdr>
          <w:bottom w:val="single" w:sz="4" w:space="1" w:color="auto"/>
        </w:pBdr>
        <w:rPr>
          <w:rFonts w:eastAsiaTheme="minorEastAsia" w:hAnsi="Calibri"/>
          <w:b/>
          <w:color w:val="000000" w:themeColor="dark1"/>
          <w:kern w:val="24"/>
          <w:sz w:val="24"/>
          <w:szCs w:val="24"/>
        </w:rPr>
      </w:pPr>
      <w:r w:rsidRPr="00BC61A0">
        <w:rPr>
          <w:rFonts w:eastAsiaTheme="minorEastAsia" w:hAnsi="Calibri"/>
          <w:b/>
          <w:color w:val="000000" w:themeColor="dark1"/>
          <w:kern w:val="24"/>
          <w:sz w:val="24"/>
          <w:szCs w:val="24"/>
        </w:rPr>
        <w:t>PRIVOLA</w:t>
      </w:r>
    </w:p>
    <w:p w:rsidR="00B22500" w:rsidRDefault="00B22500" w:rsidP="00682C35">
      <w:pPr>
        <w:spacing w:before="13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2C35">
        <w:rPr>
          <w:rFonts w:eastAsiaTheme="minorEastAsia" w:hAnsi="Calibri"/>
          <w:color w:val="000000" w:themeColor="text1"/>
          <w:kern w:val="24"/>
          <w:lang w:eastAsia="hr-HR"/>
        </w:rPr>
        <w:t xml:space="preserve">• privola je svako </w:t>
      </w:r>
      <w:r w:rsidRPr="00682C35">
        <w:rPr>
          <w:rFonts w:eastAsiaTheme="minorEastAsia" w:hAnsi="Calibri"/>
          <w:b/>
          <w:bCs/>
          <w:color w:val="000000" w:themeColor="text1"/>
          <w:kern w:val="24"/>
          <w:lang w:eastAsia="hr-HR"/>
        </w:rPr>
        <w:t>dobrovoljno</w:t>
      </w:r>
      <w:r w:rsidRPr="00682C35">
        <w:rPr>
          <w:rFonts w:eastAsiaTheme="minorEastAsia" w:hAnsi="Calibri"/>
          <w:color w:val="000000" w:themeColor="text1"/>
          <w:kern w:val="24"/>
          <w:lang w:eastAsia="hr-HR"/>
        </w:rPr>
        <w:t xml:space="preserve">, </w:t>
      </w:r>
      <w:r w:rsidRPr="00682C35">
        <w:rPr>
          <w:rFonts w:eastAsiaTheme="minorEastAsia" w:hAnsi="Calibri"/>
          <w:b/>
          <w:bCs/>
          <w:color w:val="000000" w:themeColor="text1"/>
          <w:kern w:val="24"/>
          <w:lang w:eastAsia="hr-HR"/>
        </w:rPr>
        <w:t>posebno</w:t>
      </w:r>
      <w:r w:rsidRPr="00682C35">
        <w:rPr>
          <w:rFonts w:eastAsiaTheme="minorEastAsia" w:hAnsi="Calibri"/>
          <w:color w:val="000000" w:themeColor="text1"/>
          <w:kern w:val="24"/>
          <w:lang w:eastAsia="hr-HR"/>
        </w:rPr>
        <w:t xml:space="preserve">, </w:t>
      </w:r>
      <w:r w:rsidRPr="00682C35">
        <w:rPr>
          <w:rFonts w:eastAsiaTheme="minorEastAsia" w:hAnsi="Calibri"/>
          <w:b/>
          <w:bCs/>
          <w:color w:val="000000" w:themeColor="text1"/>
          <w:kern w:val="24"/>
          <w:lang w:eastAsia="hr-HR"/>
        </w:rPr>
        <w:t>informirano</w:t>
      </w:r>
      <w:r w:rsidRPr="00682C35">
        <w:rPr>
          <w:rFonts w:eastAsiaTheme="minorEastAsia" w:hAnsi="Calibri"/>
          <w:color w:val="000000" w:themeColor="text1"/>
          <w:kern w:val="24"/>
          <w:lang w:eastAsia="hr-HR"/>
        </w:rPr>
        <w:t xml:space="preserve"> i </w:t>
      </w:r>
      <w:r w:rsidRPr="00682C35">
        <w:rPr>
          <w:rFonts w:eastAsiaTheme="minorEastAsia" w:hAnsi="Calibri"/>
          <w:b/>
          <w:bCs/>
          <w:color w:val="000000" w:themeColor="text1"/>
          <w:kern w:val="24"/>
          <w:lang w:eastAsia="hr-HR"/>
        </w:rPr>
        <w:t>nedvosmisleno izražavanje želja</w:t>
      </w:r>
      <w:r w:rsidRPr="00682C35">
        <w:rPr>
          <w:rFonts w:eastAsiaTheme="minorEastAsia" w:hAnsi="Calibri"/>
          <w:color w:val="000000" w:themeColor="text1"/>
          <w:kern w:val="24"/>
          <w:lang w:eastAsia="hr-HR"/>
        </w:rPr>
        <w:t xml:space="preserve"> ispitanika kojim on izjavom ili jasnom potvrdnom radnjom daje pristanak za obradu osobnih podataka koji se na njega odnose.</w:t>
      </w:r>
    </w:p>
    <w:p w:rsidR="00682C35" w:rsidRPr="00682C35" w:rsidRDefault="00682C35" w:rsidP="00BC61A0">
      <w:pPr>
        <w:spacing w:before="13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500" w:rsidRPr="00BC61A0" w:rsidRDefault="00BC61A0" w:rsidP="00BC61A0">
      <w:pPr>
        <w:pStyle w:val="Odlomakpopisa"/>
        <w:pBdr>
          <w:bottom w:val="single" w:sz="4" w:space="1" w:color="auto"/>
        </w:pBdr>
        <w:ind w:left="-142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bookmarkStart w:id="0" w:name="_GoBack"/>
      <w:bookmarkEnd w:id="0"/>
      <w:r w:rsidR="00B22500" w:rsidRPr="00BC61A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ELEMENTI VALJANE/ZAKONITE PRIVOLE</w:t>
      </w:r>
    </w:p>
    <w:p w:rsidR="00B22500" w:rsidRPr="00682C35" w:rsidRDefault="00B22500" w:rsidP="00B22500">
      <w:pPr>
        <w:pStyle w:val="StandardWeb"/>
        <w:spacing w:before="10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1. DOBROVOLJNOST</w:t>
      </w:r>
    </w:p>
    <w:p w:rsidR="00B22500" w:rsidRPr="00682C35" w:rsidRDefault="00B22500" w:rsidP="00B22500">
      <w:pPr>
        <w:pStyle w:val="StandardWeb"/>
        <w:spacing w:before="10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2. POSEBNOST</w:t>
      </w:r>
    </w:p>
    <w:p w:rsidR="00B22500" w:rsidRPr="00682C35" w:rsidRDefault="00B22500" w:rsidP="00B22500">
      <w:pPr>
        <w:pStyle w:val="StandardWeb"/>
        <w:spacing w:before="10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3. INFORMIRANOST</w:t>
      </w:r>
    </w:p>
    <w:p w:rsidR="001A19FA" w:rsidRPr="00682C35" w:rsidRDefault="00B22500" w:rsidP="00B22500">
      <w:pPr>
        <w:pStyle w:val="StandardWeb"/>
        <w:spacing w:before="10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4. NEDVOSMISLENO IZRAŽAVANJE ŽELJE</w:t>
      </w:r>
    </w:p>
    <w:p w:rsidR="00B22500" w:rsidRPr="00682C35" w:rsidRDefault="00B22500" w:rsidP="00B22500">
      <w:pPr>
        <w:pStyle w:val="StandardWeb"/>
        <w:numPr>
          <w:ilvl w:val="0"/>
          <w:numId w:val="3"/>
        </w:numPr>
        <w:spacing w:before="106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DOBROVOLJNOST: </w:t>
      </w:r>
    </w:p>
    <w:p w:rsidR="00B22500" w:rsidRPr="00682C35" w:rsidRDefault="00B22500" w:rsidP="00B225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postojanje „istinskog izbora” za ispitanike</w:t>
      </w:r>
    </w:p>
    <w:p w:rsidR="00B22500" w:rsidRPr="00682C35" w:rsidRDefault="00B22500" w:rsidP="00B225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privola se ne smatra dobrovoljnom ako ne može odbiti ili povući privolu bez trpljenja štetnih posljedica </w:t>
      </w:r>
    </w:p>
    <w:p w:rsidR="00B22500" w:rsidRPr="00682C35" w:rsidRDefault="00B22500" w:rsidP="00B225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privola ne smije biti uvjetovana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situacija u kojoj je privola uključena u prihvaćanje uvjeta , ili u kojoj se odredba ugovora ili usluga vezuje uz zahtjev za privolu koja nije nužna za izvršenje tog ugovora ili usluge nije prihvatljiva i čini danu privolu nezakonitom. </w:t>
      </w:r>
    </w:p>
    <w:p w:rsidR="00B22500" w:rsidRPr="00682C35" w:rsidRDefault="00B22500" w:rsidP="00B22500">
      <w:pPr>
        <w:pStyle w:val="StandardWeb"/>
        <w:spacing w:before="10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-  Dvije zakonite osnove </w:t>
      </w:r>
      <w:r w:rsidRPr="00682C3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PRIVOLA </w:t>
      </w: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i </w:t>
      </w:r>
      <w:r w:rsidRPr="00682C3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UGOVOR</w:t>
      </w: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ne mogu se miješ</w:t>
      </w:r>
      <w:r w:rsid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ati ni</w:t>
      </w: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spajati – zahtjev za privolom ne smije se spajati s izvršenjem ugovora</w:t>
      </w:r>
      <w:r w:rsid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(vrijedi i za spajanje s dr. pr. osnovama)</w:t>
      </w:r>
    </w:p>
    <w:p w:rsidR="00B22500" w:rsidRPr="00682C35" w:rsidRDefault="00B22500" w:rsidP="00B22500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problematika „neravnoteže između voditelja obrade i ispitanika” </w:t>
      </w:r>
      <w:r w:rsidRPr="00682C3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(tijela javne vlasti, odnos poslodavac-zaposlenik)</w:t>
      </w:r>
    </w:p>
    <w:p w:rsidR="001A19FA" w:rsidRPr="00682C35" w:rsidRDefault="001A19FA" w:rsidP="001A19FA">
      <w:pPr>
        <w:pStyle w:val="Odlomakpopisa"/>
        <w:rPr>
          <w:sz w:val="22"/>
          <w:szCs w:val="22"/>
        </w:rPr>
      </w:pPr>
    </w:p>
    <w:p w:rsidR="00B22500" w:rsidRPr="00682C35" w:rsidRDefault="00B22500" w:rsidP="00B22500">
      <w:pPr>
        <w:pStyle w:val="StandardWeb"/>
        <w:numPr>
          <w:ilvl w:val="0"/>
          <w:numId w:val="3"/>
        </w:numPr>
        <w:spacing w:before="8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POSEBNOST:</w:t>
      </w:r>
    </w:p>
    <w:p w:rsidR="00B22500" w:rsidRPr="00682C35" w:rsidRDefault="00B22500" w:rsidP="00B22500">
      <w:pPr>
        <w:pStyle w:val="StandardWeb"/>
        <w:spacing w:before="8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Ukoliko se na jednom obrascu zahtjeva privola u više različitih svrha – ispitaniku se mora omogućiti da da zasebnu privolu za svaku od tih svrha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posebno</w:t>
      </w:r>
    </w:p>
    <w:p w:rsidR="00B22500" w:rsidRPr="00682C35" w:rsidRDefault="00B22500" w:rsidP="00B22500">
      <w:pPr>
        <w:pStyle w:val="StandardWeb"/>
        <w:spacing w:before="86" w:beforeAutospacing="0" w:after="0" w:afterAutospacing="0"/>
        <w:rPr>
          <w:sz w:val="22"/>
          <w:szCs w:val="22"/>
          <w:u w:val="single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Elementi posebnosti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Specifikacija svrhe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proofErr w:type="spellStart"/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Granularnost</w:t>
      </w:r>
      <w:proofErr w:type="spellEnd"/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u zahtjevima za privolu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Jasno razdvajanje informacija koje se odnose na dobivanje privole od informacija o drugim pitanjima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Specifikacija svrhe i </w:t>
      </w:r>
      <w:proofErr w:type="spellStart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granularnost</w:t>
      </w:r>
      <w:proofErr w:type="spellEnd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u zahtjevima za privolu (mogućnost davanja zasebne privole za svaku od pojedinih svrha. Omogućiti izbor ispitanicima. Ako se na istom obrascu traži privola za nekoliko svrha, a ispitanicima nije omogućen izbor da daju privolu zasebno za svaku od tih svrha – SMATRA SE DA PRIVOLA NIJE DANA DOBROVOLJNO i kao takva je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NEZAKONITA. 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Dobivanju valjane privole uvijek prethodi određivanje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posebne, izričite i zakonite svrhe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za predviđenu aktivnost obrade</w:t>
      </w:r>
    </w:p>
    <w:p w:rsidR="00B22500" w:rsidRPr="00682C35" w:rsidRDefault="00B22500" w:rsidP="00B22500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Ispitanici uvijek moraju dati privolu za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posebnu svrhu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obrade</w:t>
      </w:r>
    </w:p>
    <w:p w:rsidR="00B22500" w:rsidRPr="00682C35" w:rsidRDefault="00B22500" w:rsidP="001A19FA">
      <w:pPr>
        <w:pStyle w:val="StandardWeb"/>
        <w:spacing w:before="86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    Privola može obuhvaćati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različite postupke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pod uvjetom da ti postupci služe </w:t>
      </w:r>
      <w:r w:rsidR="001A19FA"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istoj svrs</w:t>
      </w:r>
      <w:r w:rsid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i</w:t>
      </w:r>
    </w:p>
    <w:p w:rsidR="001A19FA" w:rsidRPr="00682C35" w:rsidRDefault="001A19FA" w:rsidP="001A19FA">
      <w:pPr>
        <w:pStyle w:val="StandardWeb"/>
        <w:spacing w:before="72" w:beforeAutospacing="0" w:after="0" w:afterAutospacing="0"/>
        <w:ind w:left="720"/>
        <w:rPr>
          <w:sz w:val="22"/>
          <w:szCs w:val="22"/>
        </w:rPr>
      </w:pPr>
    </w:p>
    <w:p w:rsidR="00B22500" w:rsidRPr="00682C35" w:rsidRDefault="00B22500" w:rsidP="00B22500">
      <w:pPr>
        <w:pStyle w:val="StandardWeb"/>
        <w:numPr>
          <w:ilvl w:val="0"/>
          <w:numId w:val="3"/>
        </w:numPr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INFORMIRANOST 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Privola mora biti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informirana. </w:t>
      </w:r>
    </w:p>
    <w:p w:rsidR="00B22500" w:rsidRPr="00682C35" w:rsidRDefault="00B22500" w:rsidP="00B2250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Načelo transparentnosti-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jedno od temeljnih načela Uredbe</w:t>
      </w:r>
    </w:p>
    <w:p w:rsidR="00B22500" w:rsidRPr="00682C35" w:rsidRDefault="00B22500" w:rsidP="00B2250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Pružanje informacija ispitanicima prije dobivanja privole ključno je kako bi im se omogućilo donošenje utemeljene odluke</w:t>
      </w:r>
    </w:p>
    <w:p w:rsidR="00B22500" w:rsidRPr="00682C35" w:rsidRDefault="00B22500" w:rsidP="00B2250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 xml:space="preserve">Neispunjavanje zahtjeva informirane privole dovodi do toka da će privola biti NEVAŽEĆA/NZAKONITA (kršenje </w:t>
      </w:r>
      <w:proofErr w:type="spellStart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čl</w:t>
      </w:r>
      <w:proofErr w:type="spellEnd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6. Uredbe)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MINIMALNE INFORMACIJE </w:t>
      </w:r>
      <w:r w:rsid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koje se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mora</w:t>
      </w:r>
      <w:r w:rsid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ju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pružiti ispitaniku kako bi privola bila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„INFORMIRANA”: 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-    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identitet voditelja obrade </w:t>
      </w:r>
    </w:p>
    <w:p w:rsidR="00B22500" w:rsidRPr="00682C35" w:rsidRDefault="00B22500" w:rsidP="00B22500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svrha svakog postupka/više postupaka obrade za koju se traži privola</w:t>
      </w:r>
    </w:p>
    <w:p w:rsidR="00B22500" w:rsidRPr="00682C35" w:rsidRDefault="00B22500" w:rsidP="00B22500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vrsta podataka koji će se prikupljati i upotrebljavati</w:t>
      </w:r>
    </w:p>
    <w:p w:rsidR="00B22500" w:rsidRPr="00682C35" w:rsidRDefault="00B22500" w:rsidP="00B22500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postojanje prava na povlačenje privole</w:t>
      </w:r>
    </w:p>
    <w:p w:rsidR="00B22500" w:rsidRPr="00682C35" w:rsidRDefault="00B22500" w:rsidP="00B22500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ovisno o okolnostima i kontekstu slučaja i dodatne informacije kako bi se ispitanicima omogućilo stvarno razumijevanje postojećih postupaka obrade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Kako dostaviti informacije?</w:t>
      </w:r>
    </w:p>
    <w:p w:rsidR="00B22500" w:rsidRPr="00682C35" w:rsidRDefault="00B22500" w:rsidP="00B22500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Uredbom nije propisan format i oblik u kojem se informacije moraju dostaviti kako bi se ispunio zahtjev informirane privole (USMENO-problem dokazati, načelo pouzdanosti, PISANE IZJAVE, itd..) </w:t>
      </w:r>
    </w:p>
    <w:p w:rsidR="00B22500" w:rsidRPr="00682C35" w:rsidRDefault="00B22500" w:rsidP="00B22500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Pri traženju privole treba se služiti JASNIM I JEDNOSTAVNIM JEZIKOM, bez previše pravnog žargona 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-Voditelj obrade koji se poziva na privolu ispitanika mora voditi računa i o posebnim obvezama informiranja koje su utvrđene u člancima 13. i 14. radi usklađenosti s Uredbom</w:t>
      </w:r>
    </w:p>
    <w:p w:rsidR="00B22500" w:rsidRPr="00682C35" w:rsidRDefault="00B22500" w:rsidP="00B22500">
      <w:pPr>
        <w:pStyle w:val="StandardWeb"/>
        <w:spacing w:before="72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-Valjana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„informirana”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privola može postojati ako u postupku dobivanja privole nisu navedeni svi elementi iz </w:t>
      </w:r>
      <w:proofErr w:type="spellStart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čl</w:t>
      </w:r>
      <w:proofErr w:type="spellEnd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.13. i 14. – no te informacije trebaju biti navedene na drugim mjestima, kao što je </w:t>
      </w:r>
      <w:proofErr w:type="spellStart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npr</w:t>
      </w:r>
      <w:proofErr w:type="spellEnd"/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POLITIKA PRIVATNOSTI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– objavljena na internetskim stranicama. </w:t>
      </w:r>
    </w:p>
    <w:p w:rsidR="00B22500" w:rsidRPr="00682C35" w:rsidRDefault="00B22500" w:rsidP="00B22500">
      <w:pPr>
        <w:rPr>
          <w:rFonts w:eastAsiaTheme="minorEastAsia" w:hAnsi="Calibri"/>
          <w:b/>
          <w:color w:val="000000" w:themeColor="dark1"/>
          <w:kern w:val="24"/>
        </w:rPr>
      </w:pPr>
    </w:p>
    <w:p w:rsidR="001B5FFA" w:rsidRPr="00682C35" w:rsidRDefault="00B22500" w:rsidP="001A19FA">
      <w:pPr>
        <w:spacing w:before="154" w:after="0" w:line="240" w:lineRule="auto"/>
        <w:rPr>
          <w:rFonts w:eastAsiaTheme="minorEastAsia" w:hAnsi="Calibri"/>
          <w:b/>
          <w:color w:val="000000" w:themeColor="text1"/>
          <w:kern w:val="24"/>
          <w:lang w:eastAsia="hr-HR"/>
        </w:rPr>
      </w:pPr>
      <w:r w:rsidRPr="00682C35">
        <w:rPr>
          <w:rFonts w:eastAsiaTheme="minorEastAsia" w:hAnsi="Calibri"/>
          <w:b/>
          <w:color w:val="000000" w:themeColor="text1"/>
          <w:kern w:val="24"/>
          <w:lang w:eastAsia="hr-HR"/>
        </w:rPr>
        <w:t>4. NEDVOSMISLENO IZRAŽAVANJE ŽELJE/VOLJE</w:t>
      </w:r>
    </w:p>
    <w:p w:rsidR="001B5FFA" w:rsidRPr="00682C35" w:rsidRDefault="001B5FFA" w:rsidP="001B5FFA">
      <w:pPr>
        <w:pStyle w:val="StandardWeb"/>
        <w:spacing w:before="144" w:beforeAutospacing="0" w:after="0" w:afterAutospacing="0"/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-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Izjava ispitanika 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ili </w:t>
      </w:r>
      <w:r w:rsidRPr="00682C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jasna potvrdna radnja</w:t>
      </w: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(privola se uvijek mora davati aktivnom radnjom ili izjavom – mora biti očito da je ispitanik pristao na određenu obradu</w:t>
      </w:r>
    </w:p>
    <w:p w:rsidR="001B5FFA" w:rsidRPr="00682C35" w:rsidRDefault="001B5FFA" w:rsidP="001B5FFA">
      <w:pPr>
        <w:pStyle w:val="Odlomakpopisa"/>
        <w:numPr>
          <w:ilvl w:val="0"/>
          <w:numId w:val="8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Upotreba unaprijed označenih polja za prihvaćanje nije važeća prema Uredbi</w:t>
      </w:r>
    </w:p>
    <w:p w:rsidR="001B5FFA" w:rsidRPr="00682C35" w:rsidRDefault="001B5FFA" w:rsidP="001B5FFA">
      <w:pPr>
        <w:pStyle w:val="Odlomakpopisa"/>
        <w:numPr>
          <w:ilvl w:val="0"/>
          <w:numId w:val="8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Šutnja ili neaktivnost ispitanika ne mogu se smatrati aktivnim izražavanjem izbora</w:t>
      </w:r>
    </w:p>
    <w:p w:rsidR="001B5FFA" w:rsidRPr="00682C35" w:rsidRDefault="001B5FFA" w:rsidP="001B5FFA">
      <w:pPr>
        <w:pStyle w:val="Odlomakpopisa"/>
        <w:numPr>
          <w:ilvl w:val="0"/>
          <w:numId w:val="8"/>
        </w:numPr>
        <w:rPr>
          <w:sz w:val="22"/>
          <w:szCs w:val="22"/>
        </w:rPr>
      </w:pPr>
      <w:r w:rsidRPr="00682C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 okviru zahtjeva Opće uredbe, voditelji obrade mogu slobodno razvijati postupke za dobivanje privole koji odgovaraju njihovoj organizaciji</w:t>
      </w:r>
    </w:p>
    <w:p w:rsidR="001B5FFA" w:rsidRPr="001B5FFA" w:rsidRDefault="001B5FFA" w:rsidP="001B5FFA">
      <w:pPr>
        <w:spacing w:before="86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5FFA">
        <w:rPr>
          <w:rFonts w:eastAsiaTheme="minorEastAsia" w:hAnsi="Calibri"/>
          <w:color w:val="000000" w:themeColor="text1"/>
          <w:kern w:val="24"/>
          <w:lang w:eastAsia="hr-HR"/>
        </w:rPr>
        <w:t xml:space="preserve">Pri traženju privole voditelji obrade trebali bi osigurati da se u svim slučajevima služe jasnim i jednostavnim jezikom. To znači da bi poruka trebala biti lako razumljiva za prosječnu osobu, a ne samo za pravnike. </w:t>
      </w:r>
    </w:p>
    <w:p w:rsidR="001B5FFA" w:rsidRPr="001B5FFA" w:rsidRDefault="001B5FFA" w:rsidP="001B5FFA">
      <w:pPr>
        <w:spacing w:before="86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5FFA">
        <w:rPr>
          <w:rFonts w:eastAsiaTheme="minorEastAsia" w:hAnsi="Calibri"/>
          <w:color w:val="000000" w:themeColor="text1"/>
          <w:kern w:val="24"/>
          <w:lang w:eastAsia="hr-HR"/>
        </w:rPr>
        <w:t xml:space="preserve">• Privola mora biti jasna tako da se može razlučiti od drugih pitanja te predočena u razumljivom i lako dostupnom obliku. </w:t>
      </w:r>
    </w:p>
    <w:p w:rsidR="001B5FFA" w:rsidRPr="001B5FFA" w:rsidRDefault="001B5FFA" w:rsidP="001B5FFA">
      <w:pPr>
        <w:spacing w:before="86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5FFA">
        <w:rPr>
          <w:rFonts w:eastAsiaTheme="minorEastAsia" w:hAnsi="Calibri"/>
          <w:color w:val="000000" w:themeColor="text1"/>
          <w:kern w:val="24"/>
          <w:lang w:eastAsia="hr-HR"/>
        </w:rPr>
        <w:t>• Voditelj obrade mora jasno opisati svrhu obrade podataka za koju se traži privola</w:t>
      </w:r>
    </w:p>
    <w:p w:rsidR="007E2EB6" w:rsidRDefault="007E2EB6" w:rsidP="001B5FFA">
      <w:pPr>
        <w:spacing w:before="86" w:after="0" w:line="240" w:lineRule="auto"/>
        <w:rPr>
          <w:rFonts w:eastAsiaTheme="minorEastAsia" w:hAnsi="Calibri"/>
          <w:b/>
          <w:color w:val="000000" w:themeColor="text1"/>
          <w:kern w:val="24"/>
          <w:lang w:eastAsia="hr-HR"/>
        </w:rPr>
      </w:pPr>
    </w:p>
    <w:p w:rsidR="007E2EB6" w:rsidRPr="00BC61A0" w:rsidRDefault="001B5FFA" w:rsidP="00BC61A0">
      <w:pPr>
        <w:pBdr>
          <w:bottom w:val="single" w:sz="4" w:space="1" w:color="auto"/>
        </w:pBdr>
        <w:spacing w:before="86"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hr-HR"/>
        </w:rPr>
      </w:pPr>
      <w:r w:rsidRPr="001B5FFA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hr-HR"/>
        </w:rPr>
        <w:t>BITNO:</w:t>
      </w:r>
    </w:p>
    <w:p w:rsidR="007E2EB6" w:rsidRPr="001B5FFA" w:rsidRDefault="007E2EB6" w:rsidP="001B5FFA">
      <w:pPr>
        <w:spacing w:before="86" w:after="0" w:line="240" w:lineRule="auto"/>
        <w:rPr>
          <w:rFonts w:eastAsiaTheme="minorEastAsia" w:hAnsi="Calibri"/>
          <w:b/>
          <w:color w:val="000000" w:themeColor="text1"/>
          <w:kern w:val="24"/>
          <w:lang w:eastAsia="hr-HR"/>
        </w:rPr>
      </w:pPr>
    </w:p>
    <w:p w:rsidR="001B5FFA" w:rsidRPr="007E2EB6" w:rsidRDefault="007E2EB6" w:rsidP="007E2EB6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eastAsiaTheme="minorEastAsia" w:hAnsi="Calibri"/>
          <w:color w:val="000000" w:themeColor="text1"/>
          <w:kern w:val="24"/>
          <w:lang w:eastAsia="hr-HR"/>
        </w:rPr>
        <w:t xml:space="preserve">- </w:t>
      </w:r>
      <w:r w:rsidR="00F21693" w:rsidRPr="007E2EB6">
        <w:rPr>
          <w:rFonts w:eastAsiaTheme="minorEastAsia" w:hAnsi="Calibri"/>
          <w:color w:val="000000" w:themeColor="text1"/>
          <w:kern w:val="24"/>
          <w:lang w:eastAsia="hr-HR"/>
        </w:rPr>
        <w:t xml:space="preserve">Ispitaniku se mora omogućiti da </w:t>
      </w:r>
      <w:r w:rsidR="001B5FFA" w:rsidRPr="001B5FFA">
        <w:rPr>
          <w:rFonts w:eastAsiaTheme="minorEastAsia" w:hAnsi="Calibri"/>
          <w:color w:val="000000" w:themeColor="text1"/>
          <w:kern w:val="24"/>
          <w:lang w:eastAsia="hr-HR"/>
        </w:rPr>
        <w:t xml:space="preserve">u svakom trenutku </w:t>
      </w:r>
      <w:r w:rsidR="00F21693" w:rsidRPr="007E2EB6">
        <w:rPr>
          <w:rFonts w:eastAsiaTheme="minorEastAsia" w:hAnsi="Calibri"/>
          <w:color w:val="000000" w:themeColor="text1"/>
          <w:kern w:val="24"/>
          <w:lang w:eastAsia="hr-HR"/>
        </w:rPr>
        <w:t xml:space="preserve">može </w:t>
      </w:r>
      <w:r w:rsidR="001B5FFA" w:rsidRPr="001B5FFA">
        <w:rPr>
          <w:rFonts w:eastAsiaTheme="minorEastAsia" w:hAnsi="Calibri"/>
          <w:color w:val="000000" w:themeColor="text1"/>
          <w:kern w:val="24"/>
          <w:lang w:eastAsia="hr-HR"/>
        </w:rPr>
        <w:t>povući</w:t>
      </w:r>
      <w:r w:rsidRPr="007E2EB6">
        <w:rPr>
          <w:rFonts w:eastAsiaTheme="minorEastAsia" w:hAnsi="Calibri"/>
          <w:color w:val="000000" w:themeColor="text1"/>
          <w:kern w:val="24"/>
          <w:lang w:eastAsia="hr-HR"/>
        </w:rPr>
        <w:t xml:space="preserve"> svoju privolu </w:t>
      </w:r>
    </w:p>
    <w:p w:rsidR="001B5FFA" w:rsidRPr="007E2EB6" w:rsidRDefault="007E2EB6" w:rsidP="007E2EB6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7E2EB6">
        <w:rPr>
          <w:rFonts w:eastAsiaTheme="minorEastAsia" w:hAnsi="Calibri"/>
          <w:color w:val="000000" w:themeColor="text1"/>
          <w:kern w:val="24"/>
          <w:lang w:eastAsia="hr-HR"/>
        </w:rPr>
        <w:t>-</w:t>
      </w:r>
      <w:r>
        <w:rPr>
          <w:rFonts w:eastAsiaTheme="minorEastAsia" w:hAnsi="Calibri"/>
          <w:color w:val="000000" w:themeColor="text1"/>
          <w:kern w:val="24"/>
          <w:lang w:eastAsia="hr-HR"/>
        </w:rPr>
        <w:t xml:space="preserve"> </w:t>
      </w:r>
      <w:r w:rsidR="001B5FFA" w:rsidRPr="001B5FFA">
        <w:rPr>
          <w:rFonts w:eastAsiaTheme="minorEastAsia" w:hAnsi="Calibri"/>
          <w:color w:val="000000" w:themeColor="text1"/>
          <w:kern w:val="24"/>
          <w:lang w:eastAsia="hr-HR"/>
        </w:rPr>
        <w:t>Povlačenje privole ne utječe na zakonitost obrade na temelju privole prije njezina povlačenja</w:t>
      </w:r>
    </w:p>
    <w:p w:rsidR="001B5FFA" w:rsidRPr="007E2EB6" w:rsidRDefault="007E2EB6" w:rsidP="007E2EB6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7E2EB6">
        <w:rPr>
          <w:rFonts w:eastAsiaTheme="minorEastAsia" w:hAnsi="Calibri"/>
          <w:color w:val="000000" w:themeColor="text1"/>
          <w:kern w:val="24"/>
          <w:lang w:eastAsia="hr-HR"/>
        </w:rPr>
        <w:t>-</w:t>
      </w:r>
      <w:r>
        <w:rPr>
          <w:rFonts w:eastAsiaTheme="minorEastAsia" w:hAnsi="Calibri"/>
          <w:color w:val="000000" w:themeColor="text1"/>
          <w:kern w:val="24"/>
          <w:lang w:eastAsia="hr-HR"/>
        </w:rPr>
        <w:t xml:space="preserve"> </w:t>
      </w:r>
      <w:r w:rsidR="001B5FFA" w:rsidRPr="001B5FFA">
        <w:rPr>
          <w:rFonts w:eastAsiaTheme="minorEastAsia" w:hAnsi="Calibri"/>
          <w:color w:val="000000" w:themeColor="text1"/>
          <w:kern w:val="24"/>
          <w:lang w:eastAsia="hr-HR"/>
        </w:rPr>
        <w:t>Na voditelju obrade je teret dokaza davanja privole</w:t>
      </w:r>
    </w:p>
    <w:p w:rsidR="001B5FFA" w:rsidRPr="007E2EB6" w:rsidRDefault="007E2EB6" w:rsidP="007E2EB6">
      <w:pPr>
        <w:spacing w:line="276" w:lineRule="auto"/>
        <w:rPr>
          <w:rFonts w:cstheme="minorHAnsi"/>
        </w:rPr>
      </w:pPr>
      <w:r w:rsidRPr="00A96BF7">
        <w:rPr>
          <w:rFonts w:eastAsiaTheme="minorEastAsia" w:cstheme="minorHAnsi"/>
          <w:b/>
          <w:color w:val="000000" w:themeColor="text1"/>
          <w:kern w:val="24"/>
        </w:rPr>
        <w:t>-</w:t>
      </w:r>
      <w:r w:rsidRPr="00A96BF7">
        <w:rPr>
          <w:rFonts w:eastAsiaTheme="minorEastAsia" w:cstheme="minorHAnsi"/>
          <w:color w:val="000000" w:themeColor="text1"/>
          <w:kern w:val="24"/>
        </w:rPr>
        <w:t xml:space="preserve"> </w:t>
      </w:r>
      <w:r w:rsidR="001B5FFA" w:rsidRPr="007E2EB6">
        <w:rPr>
          <w:rFonts w:eastAsiaTheme="minorEastAsia" w:cstheme="minorHAnsi"/>
          <w:color w:val="000000" w:themeColor="text1"/>
          <w:kern w:val="24"/>
        </w:rPr>
        <w:t xml:space="preserve">Ako se voditelj obrade odluči pozvati na privolu za bilo koji dio obrade mora biti spreman pridržavati se te odluke i zaustaviti obradu ako ispitanik povuče privolu (voditelj obrade ne može mijenjati zakonite osnove za privolu npr. nije dopušteno pozivati se na legitimni interes ako je bilo problema s valjanošću privole, odnosno ako ispitanik povuče privolu – </w:t>
      </w:r>
      <w:r w:rsidR="001B5FFA" w:rsidRPr="007E2EB6">
        <w:rPr>
          <w:rFonts w:eastAsiaTheme="minorEastAsia" w:cstheme="minorHAnsi"/>
          <w:i/>
          <w:iCs/>
          <w:color w:val="000000" w:themeColor="text1"/>
          <w:kern w:val="24"/>
        </w:rPr>
        <w:t>napomena škole (legitimni interes osnova za objavu grupnih fotografija, privola osnova za objavu pojedinačnih fotografija</w:t>
      </w:r>
    </w:p>
    <w:p w:rsidR="001B5FFA" w:rsidRPr="00682C35" w:rsidRDefault="001B5FFA" w:rsidP="001B5FFA"/>
    <w:p w:rsidR="001B5FFA" w:rsidRDefault="001B5FFA"/>
    <w:sectPr w:rsidR="001B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C78"/>
    <w:multiLevelType w:val="hybridMultilevel"/>
    <w:tmpl w:val="42CE608E"/>
    <w:lvl w:ilvl="0" w:tplc="81787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6FC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23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05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64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03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49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EA9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4CF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F7AE3"/>
    <w:multiLevelType w:val="hybridMultilevel"/>
    <w:tmpl w:val="CD9A0B9A"/>
    <w:lvl w:ilvl="0" w:tplc="8EA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A90"/>
    <w:multiLevelType w:val="hybridMultilevel"/>
    <w:tmpl w:val="4F5017C2"/>
    <w:lvl w:ilvl="0" w:tplc="B2340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2E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47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0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C1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4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83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E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C8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B6110D"/>
    <w:multiLevelType w:val="hybridMultilevel"/>
    <w:tmpl w:val="CC52E424"/>
    <w:lvl w:ilvl="0" w:tplc="BA8C4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E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E0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87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2C7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3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C1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A26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6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C313C7"/>
    <w:multiLevelType w:val="hybridMultilevel"/>
    <w:tmpl w:val="F852F354"/>
    <w:lvl w:ilvl="0" w:tplc="A25A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646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6A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6E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F9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8A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63A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240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2E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8C3C6F"/>
    <w:multiLevelType w:val="hybridMultilevel"/>
    <w:tmpl w:val="5DDAE922"/>
    <w:lvl w:ilvl="0" w:tplc="59962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EC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475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629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4F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6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E06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6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AE5EF6"/>
    <w:multiLevelType w:val="hybridMultilevel"/>
    <w:tmpl w:val="BF4A34CA"/>
    <w:lvl w:ilvl="0" w:tplc="A8C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6C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B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894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D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AA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00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F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9272EE"/>
    <w:multiLevelType w:val="hybridMultilevel"/>
    <w:tmpl w:val="D990E906"/>
    <w:lvl w:ilvl="0" w:tplc="1EEED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EC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D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81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8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C3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8B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0D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E4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0847A3"/>
    <w:multiLevelType w:val="hybridMultilevel"/>
    <w:tmpl w:val="E0C0E2E0"/>
    <w:lvl w:ilvl="0" w:tplc="2AFEB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AB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EB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E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2A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83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4FD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E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A0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99"/>
    <w:rsid w:val="001A19FA"/>
    <w:rsid w:val="001B5FFA"/>
    <w:rsid w:val="005E3C66"/>
    <w:rsid w:val="00682C35"/>
    <w:rsid w:val="007E2EB6"/>
    <w:rsid w:val="00A96BF7"/>
    <w:rsid w:val="00B22500"/>
    <w:rsid w:val="00BC61A0"/>
    <w:rsid w:val="00DF5999"/>
    <w:rsid w:val="00F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3F91"/>
  <w15:chartTrackingRefBased/>
  <w15:docId w15:val="{13FCA6E6-C62F-424D-9BAA-07E0C39C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2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ilija vučković</cp:lastModifiedBy>
  <cp:revision>8</cp:revision>
  <cp:lastPrinted>2021-08-31T20:25:00Z</cp:lastPrinted>
  <dcterms:created xsi:type="dcterms:W3CDTF">2021-08-31T20:12:00Z</dcterms:created>
  <dcterms:modified xsi:type="dcterms:W3CDTF">2021-08-31T20:34:00Z</dcterms:modified>
</cp:coreProperties>
</file>