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49E2" w14:textId="77777777" w:rsidR="00603BA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F7D2F14" wp14:editId="4083F24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0"/>
        <w:gridCol w:w="2617"/>
      </w:tblGrid>
      <w:tr w:rsidR="00603BA0" w14:paraId="0DC6F199" w14:textId="77777777">
        <w:trPr>
          <w:trHeight w:val="2173"/>
        </w:trPr>
        <w:tc>
          <w:tcPr>
            <w:tcW w:w="6200" w:type="dxa"/>
          </w:tcPr>
          <w:p w14:paraId="3AC0312D" w14:textId="77777777" w:rsidR="00603BA0" w:rsidRDefault="000000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OSNOVNA ŠKOLA „BRDA“ SPLIT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Put Brda 2, 21000 Split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400-02/25-01/1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2181-1-271-01-25-2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 31. ožujka 2025.</w:t>
            </w:r>
          </w:p>
          <w:p w14:paraId="7A2B6F86" w14:textId="77777777" w:rsidR="00603BA0" w:rsidRDefault="00603BA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F626243" w14:textId="77777777" w:rsidR="00603BA0" w:rsidRDefault="00603BA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14:paraId="2C608479" w14:textId="77777777" w:rsidR="00603BA0" w:rsidRDefault="00000000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0F14EE1" wp14:editId="646BC81B">
                  <wp:extent cx="933580" cy="933580"/>
                  <wp:effectExtent l="0" t="0" r="0" b="0"/>
                  <wp:docPr id="2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42F33AE" w14:textId="77777777" w:rsidR="00603BA0" w:rsidRDefault="00603BA0">
      <w:pPr>
        <w:rPr>
          <w:rFonts w:asciiTheme="minorHAnsi" w:hAnsiTheme="minorHAnsi" w:cstheme="minorHAnsi"/>
          <w:sz w:val="24"/>
          <w:szCs w:val="24"/>
        </w:rPr>
      </w:pPr>
    </w:p>
    <w:p w14:paraId="41DE5D6C" w14:textId="77777777" w:rsidR="00603BA0" w:rsidRDefault="00000000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>Temeljem članka 81. novog Zakona o proračunu (NN 144/21) i Pravilnika o polugodišnjem i godišnjem izvještaju o izvršenju proračuna (NN 24/13, 102/17, 1/20 i 147/20), Zakona o fiskalnoj odgovornosti (NN 111/18) i Uredbe o sastavljanju i predaji Izjave o fiskalnoj odgovornosti i izvještaja o primjeni fiskalnih pravila (NN 95/19) te članka 58. Statuta Osnovne škole Brda Split, uz prethodnu suglasnost Školskog odbora sa 99. sjednice održane dana 31. ožujka 2025. godine, ravnateljica Osnovne škole Brda donosi:</w:t>
      </w:r>
    </w:p>
    <w:p w14:paraId="0AB2CF74" w14:textId="77777777" w:rsidR="00603BA0" w:rsidRDefault="00000000">
      <w:pPr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32"/>
          <w:szCs w:val="32"/>
          <w:lang w:val="hr-H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  GODIŠNJI IZVJEŠTAJ O IZVRŠENJU FINANCIJSKOG PLANA ZA 2024. g.</w:t>
      </w:r>
    </w:p>
    <w:p w14:paraId="08CD591B" w14:textId="77777777" w:rsidR="00603BA0" w:rsidRDefault="00000000">
      <w:pPr>
        <w:pStyle w:val="Odlomakpopisa"/>
        <w:numPr>
          <w:ilvl w:val="0"/>
          <w:numId w:val="23"/>
        </w:numPr>
        <w:rPr>
          <w:rFonts w:asciiTheme="minorHAnsi" w:hAnsiTheme="minorHAnsi" w:cstheme="minorHAnsi"/>
          <w:b/>
          <w:i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hr-HR"/>
        </w:rPr>
        <w:t>OPĆI DIO</w:t>
      </w:r>
    </w:p>
    <w:p w14:paraId="48E00A9E" w14:textId="77777777" w:rsidR="00603BA0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Opći dio financijskog plana sadrži:</w:t>
      </w:r>
    </w:p>
    <w:p w14:paraId="560436E0" w14:textId="77777777" w:rsidR="00603BA0" w:rsidRDefault="00000000">
      <w:pPr>
        <w:numPr>
          <w:ilvl w:val="0"/>
          <w:numId w:val="37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sažetak Računa prihoda i rashoda i Računa financiranja</w:t>
      </w:r>
    </w:p>
    <w:p w14:paraId="7ABA034B" w14:textId="77777777" w:rsidR="00603BA0" w:rsidRDefault="00000000">
      <w:pPr>
        <w:numPr>
          <w:ilvl w:val="0"/>
          <w:numId w:val="37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Račun prihoda i rashoda </w:t>
      </w:r>
    </w:p>
    <w:p w14:paraId="4D1D3EDE" w14:textId="77777777" w:rsidR="00603BA0" w:rsidRDefault="00000000">
      <w:pPr>
        <w:numPr>
          <w:ilvl w:val="0"/>
          <w:numId w:val="37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Račun financiranja</w:t>
      </w:r>
    </w:p>
    <w:p w14:paraId="7601B6C4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3ACD8187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78EEE97D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00804B43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54D3FDB7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63B92E0C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52285C1F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71630253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7E5D2E06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57BB9064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519F420A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65B5612F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7A5E22F6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08701DDF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5036BA12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5E8D1802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65DEEBE7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340CDB54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6C46FA42" w14:textId="77777777" w:rsidR="00603BA0" w:rsidRDefault="00603BA0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79FBA085" w14:textId="77777777" w:rsidR="00603BA0" w:rsidRDefault="00000000">
      <w:pPr>
        <w:pStyle w:val="Odlomakpopisa"/>
        <w:numPr>
          <w:ilvl w:val="1"/>
          <w:numId w:val="7"/>
        </w:numPr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SAŽETAK RAČUNA PRIHODA I RASHODA I RAČUNA FINANCIRANJA</w:t>
      </w:r>
    </w:p>
    <w:p w14:paraId="454A19E8" w14:textId="77777777" w:rsidR="00603BA0" w:rsidRDefault="0000000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hr-HR" w:eastAsia="hr-HR" w:bidi="ar-SA"/>
        </w:rPr>
        <w:drawing>
          <wp:inline distT="0" distB="0" distL="0" distR="0" wp14:anchorId="15E8A0C2" wp14:editId="186BEA00">
            <wp:extent cx="5759450" cy="4006276"/>
            <wp:effectExtent l="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0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0C268" w14:textId="77777777" w:rsidR="00603BA0" w:rsidRDefault="00000000">
      <w:pPr>
        <w:pStyle w:val="Odlomakpopisa"/>
        <w:numPr>
          <w:ilvl w:val="1"/>
          <w:numId w:val="7"/>
        </w:numPr>
        <w:spacing w:after="0"/>
        <w:rPr>
          <w:rFonts w:asciiTheme="minorHAnsi" w:hAnsiTheme="minorHAnsi" w:cstheme="minorHAnsi"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RAČUN PRIHODA I RASHODA </w:t>
      </w:r>
    </w:p>
    <w:p w14:paraId="51BEE38D" w14:textId="77777777" w:rsidR="00603BA0" w:rsidRDefault="00603BA0"/>
    <w:p w14:paraId="232C74E9" w14:textId="77777777" w:rsidR="00603BA0" w:rsidRDefault="00000000">
      <w:pPr>
        <w:rPr>
          <w:noProof/>
          <w:lang w:val="hr-HR" w:eastAsia="hr-HR" w:bidi="ar-SA"/>
        </w:rPr>
      </w:pPr>
      <w:r>
        <w:rPr>
          <w:noProof/>
          <w:lang w:val="hr-HR" w:eastAsia="hr-HR" w:bidi="ar-SA"/>
        </w:rPr>
        <w:t>Račun prihoda i rashoda iskazuje se prema:</w:t>
      </w:r>
    </w:p>
    <w:p w14:paraId="7B8DDC91" w14:textId="77777777" w:rsidR="00603BA0" w:rsidRDefault="00000000">
      <w:pPr>
        <w:pStyle w:val="Odlomakpopisa"/>
        <w:numPr>
          <w:ilvl w:val="0"/>
          <w:numId w:val="26"/>
        </w:numPr>
      </w:pPr>
      <w:r>
        <w:t>ekonomkoj klasifikaciji</w:t>
      </w:r>
    </w:p>
    <w:p w14:paraId="0C53A349" w14:textId="77777777" w:rsidR="00603BA0" w:rsidRDefault="00000000">
      <w:pPr>
        <w:pStyle w:val="Odlomakpopisa"/>
        <w:numPr>
          <w:ilvl w:val="0"/>
          <w:numId w:val="26"/>
        </w:numPr>
      </w:pPr>
      <w:r>
        <w:t>izvorima financiranja</w:t>
      </w:r>
    </w:p>
    <w:p w14:paraId="7FABDDB0" w14:textId="77777777" w:rsidR="00603BA0" w:rsidRDefault="00000000">
      <w:pPr>
        <w:pStyle w:val="Odlomakpopisa"/>
        <w:numPr>
          <w:ilvl w:val="0"/>
          <w:numId w:val="26"/>
        </w:numPr>
      </w:pPr>
      <w:r>
        <w:t>funkcijskoj klasifikaciji</w:t>
      </w:r>
    </w:p>
    <w:p w14:paraId="7F64B5A6" w14:textId="77777777" w:rsidR="00603BA0" w:rsidRDefault="00603BA0">
      <w:pPr>
        <w:pStyle w:val="Odlomakpopisa"/>
      </w:pPr>
    </w:p>
    <w:p w14:paraId="5599A64D" w14:textId="77777777" w:rsidR="00603BA0" w:rsidRDefault="00603BA0">
      <w:pPr>
        <w:pStyle w:val="Odlomakpopisa"/>
      </w:pPr>
    </w:p>
    <w:p w14:paraId="028DC1B3" w14:textId="77777777" w:rsidR="00603BA0" w:rsidRDefault="00603BA0">
      <w:pPr>
        <w:pStyle w:val="Odlomakpopisa"/>
      </w:pPr>
    </w:p>
    <w:p w14:paraId="134CAED2" w14:textId="77777777" w:rsidR="00603BA0" w:rsidRDefault="00603BA0">
      <w:pPr>
        <w:pStyle w:val="Odlomakpopisa"/>
      </w:pPr>
    </w:p>
    <w:p w14:paraId="7FDB6A01" w14:textId="77777777" w:rsidR="00603BA0" w:rsidRDefault="00603BA0">
      <w:pPr>
        <w:pStyle w:val="Odlomakpopisa"/>
      </w:pPr>
    </w:p>
    <w:p w14:paraId="1F7EB6A8" w14:textId="77777777" w:rsidR="00603BA0" w:rsidRDefault="00603BA0">
      <w:pPr>
        <w:pStyle w:val="Odlomakpopisa"/>
      </w:pPr>
    </w:p>
    <w:p w14:paraId="5B31FC1C" w14:textId="77777777" w:rsidR="00603BA0" w:rsidRDefault="00603BA0">
      <w:pPr>
        <w:pStyle w:val="Odlomakpopisa"/>
      </w:pPr>
    </w:p>
    <w:p w14:paraId="27A1970A" w14:textId="77777777" w:rsidR="00603BA0" w:rsidRDefault="00603BA0">
      <w:pPr>
        <w:pStyle w:val="Odlomakpopisa"/>
      </w:pPr>
    </w:p>
    <w:p w14:paraId="7D2C1E71" w14:textId="77777777" w:rsidR="00603BA0" w:rsidRDefault="00603BA0">
      <w:pPr>
        <w:pStyle w:val="Odlomakpopisa"/>
      </w:pPr>
    </w:p>
    <w:p w14:paraId="2098BDA7" w14:textId="77777777" w:rsidR="00603BA0" w:rsidRDefault="00603BA0">
      <w:pPr>
        <w:pStyle w:val="Odlomakpopisa"/>
      </w:pPr>
    </w:p>
    <w:p w14:paraId="1EB07906" w14:textId="77777777" w:rsidR="00603BA0" w:rsidRDefault="00603BA0">
      <w:pPr>
        <w:pStyle w:val="Odlomakpopisa"/>
      </w:pPr>
    </w:p>
    <w:p w14:paraId="731FAE59" w14:textId="77777777" w:rsidR="00603BA0" w:rsidRDefault="00603BA0">
      <w:pPr>
        <w:pStyle w:val="Odlomakpopisa"/>
      </w:pPr>
    </w:p>
    <w:p w14:paraId="21707E00" w14:textId="77777777" w:rsidR="00603BA0" w:rsidRDefault="00603BA0">
      <w:pPr>
        <w:pStyle w:val="Odlomakpopisa"/>
      </w:pPr>
    </w:p>
    <w:p w14:paraId="739E8E9A" w14:textId="77777777" w:rsidR="00603BA0" w:rsidRDefault="00603BA0">
      <w:pPr>
        <w:pStyle w:val="Odlomakpopisa"/>
      </w:pPr>
    </w:p>
    <w:p w14:paraId="24D1AA86" w14:textId="77777777" w:rsidR="00603BA0" w:rsidRDefault="00603BA0">
      <w:pPr>
        <w:pStyle w:val="Odlomakpopisa"/>
      </w:pPr>
    </w:p>
    <w:p w14:paraId="1A87A4D5" w14:textId="77777777" w:rsidR="00603BA0" w:rsidRDefault="00603BA0">
      <w:pPr>
        <w:pStyle w:val="Odlomakpopisa"/>
      </w:pPr>
    </w:p>
    <w:p w14:paraId="60CB4429" w14:textId="77777777" w:rsidR="00603BA0" w:rsidRDefault="00603BA0">
      <w:pPr>
        <w:pStyle w:val="Odlomakpopisa"/>
      </w:pPr>
    </w:p>
    <w:p w14:paraId="7102CF5A" w14:textId="77777777" w:rsidR="00603BA0" w:rsidRDefault="00603BA0">
      <w:pPr>
        <w:pStyle w:val="Odlomakpopisa"/>
      </w:pPr>
    </w:p>
    <w:p w14:paraId="13D9B692" w14:textId="77777777" w:rsidR="00603BA0" w:rsidRDefault="00000000">
      <w:pPr>
        <w:pStyle w:val="Odlomakpopisa"/>
        <w:numPr>
          <w:ilvl w:val="2"/>
          <w:numId w:val="7"/>
        </w:numPr>
      </w:pPr>
      <w:r>
        <w:lastRenderedPageBreak/>
        <w:t>PRIHODI I RASHODI PREMA EKONOMSKOJ KLASIFIKACIJI:</w:t>
      </w:r>
    </w:p>
    <w:p w14:paraId="223DB0B8" w14:textId="77777777" w:rsidR="00603BA0" w:rsidRDefault="00603BA0">
      <w:pPr>
        <w:pStyle w:val="Odlomakpopisa"/>
        <w:ind w:left="715"/>
      </w:pPr>
    </w:p>
    <w:p w14:paraId="33B146BB" w14:textId="77777777" w:rsidR="00603BA0" w:rsidRDefault="00000000">
      <w:pPr>
        <w:ind w:left="360"/>
      </w:pPr>
      <w:r>
        <w:rPr>
          <w:noProof/>
          <w:lang w:val="hr-HR" w:eastAsia="hr-HR" w:bidi="ar-SA"/>
        </w:rPr>
        <w:drawing>
          <wp:inline distT="0" distB="0" distL="0" distR="0" wp14:anchorId="7EFCCC53" wp14:editId="4337938C">
            <wp:extent cx="5759450" cy="5216472"/>
            <wp:effectExtent l="0" t="0" r="0" b="3810"/>
            <wp:docPr id="4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1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33D24" w14:textId="77777777" w:rsidR="00603BA0" w:rsidRDefault="00000000">
      <w:pPr>
        <w:ind w:left="360"/>
      </w:pPr>
      <w:r>
        <w:fldChar w:fldCharType="begin"/>
      </w:r>
      <w:r>
        <w:instrText xml:space="preserve"> LINK Excel.Sheet.8 "C:\\Users\\Racunovodstvo\\Desktop\\FINANCIJSKI IZVJEŠTAJI\\FI 2022\\ZR I-XII-2022\\GOD.IZVRŠENJE FP\\Riznica-RASHODI PO IZVORIMA.xls" "IspisZahtjevaRviRazdobljaSumira!R14C2:R281C13" \a \f 4 \h  \* MERGEFORMAT </w:instrText>
      </w:r>
      <w:r>
        <w:fldChar w:fldCharType="separate"/>
      </w:r>
    </w:p>
    <w:p w14:paraId="387D5350" w14:textId="77777777" w:rsidR="00603BA0" w:rsidRDefault="00000000">
      <w:r>
        <w:fldChar w:fldCharType="end"/>
      </w:r>
    </w:p>
    <w:p w14:paraId="3AF1F79C" w14:textId="77777777" w:rsidR="00603BA0" w:rsidRDefault="00000000">
      <w:pPr>
        <w:rPr>
          <w:rFonts w:asciiTheme="minorHAnsi" w:hAnsiTheme="minorHAnsi" w:cstheme="minorHAnsi"/>
          <w:sz w:val="24"/>
          <w:szCs w:val="24"/>
          <w:lang w:val="hr-HR"/>
        </w:rPr>
      </w:pPr>
      <w:r>
        <w:t xml:space="preserve">Osim prihoda i rashoda prema ekonomskoj klasifikaciji na razini razreda, skupine, podskupine i odjeljka ekonomske klasifikacije prikazano je izvršenje korištenja prenesenog rezultata- viška prihoda. Uvrštavanje viška je bitno zbog transparetnosti i uravnoteženja budući su ukupni rashodi  uvećani za iznos prenesenog viška. </w:t>
      </w:r>
    </w:p>
    <w:p w14:paraId="6FB4E373" w14:textId="77777777" w:rsidR="00603BA0" w:rsidRDefault="00603BA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0986B36F" w14:textId="77777777" w:rsidR="00603BA0" w:rsidRDefault="00000000">
      <w:pPr>
        <w:tabs>
          <w:tab w:val="left" w:pos="7755"/>
        </w:tabs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  <w:lang w:val="hr-HR" w:eastAsia="hr-HR" w:bidi="ar-SA"/>
        </w:rPr>
        <w:lastRenderedPageBreak/>
        <w:drawing>
          <wp:inline distT="0" distB="0" distL="0" distR="0" wp14:anchorId="46244464" wp14:editId="786084B2">
            <wp:extent cx="5759450" cy="7511202"/>
            <wp:effectExtent l="0" t="0" r="0" b="0"/>
            <wp:docPr id="5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1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E5828" w14:textId="77777777" w:rsidR="00603BA0" w:rsidRDefault="00603BA0">
      <w:pPr>
        <w:tabs>
          <w:tab w:val="left" w:pos="7755"/>
        </w:tabs>
        <w:rPr>
          <w:rFonts w:asciiTheme="minorHAnsi" w:hAnsiTheme="minorHAnsi" w:cstheme="minorHAnsi"/>
          <w:sz w:val="24"/>
          <w:szCs w:val="24"/>
          <w:lang w:val="hr-HR"/>
        </w:rPr>
      </w:pPr>
    </w:p>
    <w:p w14:paraId="48A8BE2A" w14:textId="77777777" w:rsidR="00603BA0" w:rsidRDefault="00603BA0">
      <w:pPr>
        <w:tabs>
          <w:tab w:val="left" w:pos="7755"/>
        </w:tabs>
        <w:rPr>
          <w:rFonts w:asciiTheme="minorHAnsi" w:hAnsiTheme="minorHAnsi" w:cstheme="minorHAnsi"/>
          <w:sz w:val="24"/>
          <w:szCs w:val="24"/>
          <w:lang w:val="hr-HR"/>
        </w:rPr>
      </w:pPr>
    </w:p>
    <w:p w14:paraId="0C941D9D" w14:textId="77777777" w:rsidR="00603BA0" w:rsidRDefault="00603BA0">
      <w:pPr>
        <w:tabs>
          <w:tab w:val="left" w:pos="7755"/>
        </w:tabs>
        <w:rPr>
          <w:rFonts w:asciiTheme="minorHAnsi" w:hAnsiTheme="minorHAnsi" w:cstheme="minorHAnsi"/>
          <w:sz w:val="24"/>
          <w:szCs w:val="24"/>
          <w:lang w:val="hr-HR"/>
        </w:rPr>
      </w:pPr>
    </w:p>
    <w:p w14:paraId="2940C709" w14:textId="77777777" w:rsidR="00603BA0" w:rsidRDefault="00603BA0">
      <w:pPr>
        <w:tabs>
          <w:tab w:val="left" w:pos="7755"/>
        </w:tabs>
        <w:rPr>
          <w:rFonts w:asciiTheme="minorHAnsi" w:hAnsiTheme="minorHAnsi" w:cstheme="minorHAnsi"/>
          <w:sz w:val="24"/>
          <w:szCs w:val="24"/>
          <w:lang w:val="hr-HR"/>
        </w:rPr>
      </w:pPr>
    </w:p>
    <w:p w14:paraId="3520642F" w14:textId="77777777" w:rsidR="00603BA0" w:rsidRDefault="00000000">
      <w:pPr>
        <w:pStyle w:val="Odlomakpopisa"/>
        <w:numPr>
          <w:ilvl w:val="2"/>
          <w:numId w:val="7"/>
        </w:numPr>
      </w:pPr>
      <w:r>
        <w:lastRenderedPageBreak/>
        <w:t xml:space="preserve"> PRIHODI I RASHODI PREMA IZVORIMA FINACIRANJA:</w:t>
      </w:r>
    </w:p>
    <w:p w14:paraId="36B03697" w14:textId="77777777" w:rsidR="00603BA0" w:rsidRDefault="00000000">
      <w:r>
        <w:rPr>
          <w:noProof/>
          <w:lang w:val="hr-HR" w:eastAsia="hr-HR" w:bidi="ar-SA"/>
        </w:rPr>
        <w:drawing>
          <wp:inline distT="0" distB="0" distL="0" distR="0" wp14:anchorId="29CF8EBC" wp14:editId="1AA395B2">
            <wp:extent cx="5759450" cy="7886156"/>
            <wp:effectExtent l="0" t="0" r="0" b="635"/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B1EB1" w14:textId="77777777" w:rsidR="00603BA0" w:rsidRDefault="00000000">
      <w:r>
        <w:t xml:space="preserve">U izvještaju o izvršenju rashoda prema izvorima financiranja izdvojili smo podatke o izvršenju rashoda koji su se financirali iz prenesenog viška prihoda ostvarenog prošle godine. Njih smo </w:t>
      </w:r>
      <w:r>
        <w:lastRenderedPageBreak/>
        <w:t>prikazali tako što smo iza propisane oznake razreda izvora financiranja dodali drugu razinu izvora oznake 9.</w:t>
      </w:r>
    </w:p>
    <w:p w14:paraId="0E452BFE" w14:textId="77777777" w:rsidR="00603BA0" w:rsidRDefault="00000000">
      <w:pPr>
        <w:pStyle w:val="Odlomakpopisa"/>
        <w:numPr>
          <w:ilvl w:val="2"/>
          <w:numId w:val="7"/>
        </w:numPr>
        <w:spacing w:after="0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</w:rPr>
        <w:t>RASHODI PREMA FUNKCIJSKOJ KLASIFIKACIJI:</w:t>
      </w:r>
    </w:p>
    <w:p w14:paraId="0EB571E3" w14:textId="77777777" w:rsidR="00603BA0" w:rsidRDefault="00000000">
      <w:pPr>
        <w:tabs>
          <w:tab w:val="left" w:pos="7755"/>
        </w:tabs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  <w:lang w:val="hr-HR" w:eastAsia="hr-HR" w:bidi="ar-SA"/>
        </w:rPr>
        <w:drawing>
          <wp:inline distT="0" distB="0" distL="0" distR="0" wp14:anchorId="10B28783" wp14:editId="2C0568C2">
            <wp:extent cx="5759450" cy="1141087"/>
            <wp:effectExtent l="0" t="0" r="0" b="2540"/>
            <wp:docPr id="7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4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ED74C" w14:textId="77777777" w:rsidR="00603BA0" w:rsidRDefault="00000000">
      <w:pPr>
        <w:pStyle w:val="Odlomakpopisa"/>
        <w:numPr>
          <w:ilvl w:val="1"/>
          <w:numId w:val="7"/>
        </w:numPr>
        <w:spacing w:after="0"/>
        <w:rPr>
          <w:rFonts w:asciiTheme="minorHAnsi" w:hAnsiTheme="minorHAnsi" w:cstheme="minorHAnsi"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RAČUN FINANCIRANJA </w:t>
      </w:r>
    </w:p>
    <w:p w14:paraId="3CF6638A" w14:textId="77777777" w:rsidR="00603BA0" w:rsidRDefault="0000000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Nismo planirali pa ni ostvarili primitke od financijske imovine i zaduživanja niti izdatke za financijsku imovinu i otplate zajmova.</w:t>
      </w:r>
    </w:p>
    <w:p w14:paraId="5355724F" w14:textId="77777777" w:rsidR="00603BA0" w:rsidRDefault="00000000">
      <w:pPr>
        <w:pStyle w:val="Odlomakpopisa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i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hr-HR"/>
        </w:rPr>
        <w:t>POSEBNI DIO</w:t>
      </w:r>
    </w:p>
    <w:p w14:paraId="100F1DFD" w14:textId="77777777" w:rsidR="00603BA0" w:rsidRDefault="00000000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Posebni dio godišnjeg izvještaja o izvršenju financijskog plana sadrži izvršenje rashoda i izdataka iskazanih prema izvorima financiranja raspoređenih u programe koji se sastoje od aktivnosti i projekata. </w:t>
      </w:r>
    </w:p>
    <w:p w14:paraId="2EFE2BDB" w14:textId="77777777" w:rsidR="00603BA0" w:rsidRDefault="00000000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6690AED8" wp14:editId="5790828A">
            <wp:extent cx="5172075" cy="4248150"/>
            <wp:effectExtent l="0" t="0" r="9525" b="0"/>
            <wp:docPr id="8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54C32" w14:textId="77777777" w:rsidR="00603BA0" w:rsidRDefault="00603BA0"/>
    <w:p w14:paraId="62A8F99F" w14:textId="77777777" w:rsidR="00603BA0" w:rsidRDefault="00000000">
      <w:r>
        <w:rPr>
          <w:noProof/>
        </w:rPr>
        <w:lastRenderedPageBreak/>
        <w:drawing>
          <wp:inline distT="0" distB="0" distL="0" distR="0" wp14:anchorId="5DECBB74" wp14:editId="5DE02A61">
            <wp:extent cx="5172075" cy="13335000"/>
            <wp:effectExtent l="0" t="0" r="9525" b="0"/>
            <wp:docPr id="9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33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D3257" w14:textId="77777777" w:rsidR="00603BA0" w:rsidRDefault="00000000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</w:rPr>
        <w:lastRenderedPageBreak/>
        <w:drawing>
          <wp:inline distT="0" distB="0" distL="0" distR="0" wp14:anchorId="7BC6B1E3" wp14:editId="10A34BD3">
            <wp:extent cx="5172075" cy="9972676"/>
            <wp:effectExtent l="0" t="0" r="9525" b="9525"/>
            <wp:docPr id="10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97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0E475" w14:textId="77777777" w:rsidR="00603BA0" w:rsidRDefault="00000000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</w:rPr>
        <w:lastRenderedPageBreak/>
        <w:drawing>
          <wp:inline distT="0" distB="0" distL="0" distR="0" wp14:anchorId="63A0A8F4" wp14:editId="257E8789">
            <wp:extent cx="5172075" cy="9248775"/>
            <wp:effectExtent l="0" t="0" r="9525" b="9525"/>
            <wp:docPr id="1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946D3" w14:textId="77777777" w:rsidR="00603BA0" w:rsidRDefault="00000000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</w:rPr>
        <w:lastRenderedPageBreak/>
        <w:drawing>
          <wp:inline distT="0" distB="0" distL="0" distR="0" wp14:anchorId="02226605" wp14:editId="7CB079B9">
            <wp:extent cx="5172075" cy="9029700"/>
            <wp:effectExtent l="0" t="0" r="9525" b="0"/>
            <wp:docPr id="1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F0331" w14:textId="77777777" w:rsidR="00603BA0" w:rsidRDefault="00000000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</w:rPr>
        <w:lastRenderedPageBreak/>
        <w:drawing>
          <wp:inline distT="0" distB="0" distL="0" distR="0" wp14:anchorId="193A98FC" wp14:editId="780BBFCE">
            <wp:extent cx="5172075" cy="9324976"/>
            <wp:effectExtent l="0" t="0" r="9525" b="9525"/>
            <wp:docPr id="13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32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A2FEB" w14:textId="77777777" w:rsidR="00603BA0" w:rsidRDefault="00603BA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342CF7EE" w14:textId="77777777" w:rsidR="00603BA0" w:rsidRDefault="00000000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75CA2DE1" wp14:editId="684F0E3E">
            <wp:extent cx="5172075" cy="3000375"/>
            <wp:effectExtent l="0" t="0" r="9525" b="9525"/>
            <wp:docPr id="14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029B9" w14:textId="77777777" w:rsidR="00603BA0" w:rsidRDefault="00603BA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1EBD63E5" w14:textId="77777777" w:rsidR="00603BA0" w:rsidRDefault="00603BA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62ADF8D1" w14:textId="77777777" w:rsidR="00603BA0" w:rsidRDefault="00000000">
      <w:pPr>
        <w:pStyle w:val="Odlomakpopisa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>OBRAZLOŽENJE GODIŠNJEG IZVJEŠTAJA O IZVRŠENJU FINANCIJSKOG PLANA ZA 2024. GODINU</w:t>
      </w:r>
    </w:p>
    <w:p w14:paraId="472F65B5" w14:textId="77777777" w:rsidR="00603BA0" w:rsidRDefault="00603BA0">
      <w:pPr>
        <w:pStyle w:val="Odlomakpopisa"/>
        <w:spacing w:line="360" w:lineRule="auto"/>
        <w:ind w:left="360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005DAD4B" w14:textId="77777777" w:rsidR="00603BA0" w:rsidRDefault="00000000">
      <w:pPr>
        <w:pStyle w:val="Odlomakpopisa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OBRAZLOŽENJE OPĆEG DIJELA </w:t>
      </w:r>
    </w:p>
    <w:p w14:paraId="24CDD63D" w14:textId="77777777" w:rsidR="00603BA0" w:rsidRDefault="00000000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U sažetku godišnjeg izvještaja o izvršenju financijskog plana za 2024. godinu prikazano je izvršenje prihoda, rashoda i trošenje prenesenog viška, a nije prikazan rezultat poslovanja. </w:t>
      </w:r>
    </w:p>
    <w:p w14:paraId="07A09A49" w14:textId="77777777" w:rsidR="00603BA0" w:rsidRDefault="00000000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Preneseni višak realiziran u 2023. godine u iznosu od 3.356,85 eura rezultat je zbroja viška vlastitih prihoda (2.933,02 eura), namjenskih prihoda (76,32 eura) i donacija (347,51 eura).  Potrošili smo ga u cijelosti u skladu s Odlukom o raspodjeli rezultata. Od prenesenog viška vlastitih prihoda za nabavku opreme smo utrošili 2.000 eura, a ostatak za izdavanje školskog lista, kupnju pisača i nagrade učenicima. Namjenski prihod smo utrošili sukladno namjeni za koju je i uplaćen odnosno za naknadu štete. Donacijama smo financirali trošak tiskanja školskog lista u iznosu od 275,63 eura, a ostatak (71,98 eura) za kupnju knjiga za knjižnicu.</w:t>
      </w:r>
    </w:p>
    <w:p w14:paraId="374BA641" w14:textId="77777777" w:rsidR="00603BA0" w:rsidRDefault="00000000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Planirani preneseni višak za 2024. godinu u iznosu od 6.104,00   eura rezultat je zbroja viška vlastitih prihoda (3.168,91 eura), namjenskih prihoda (89,28 eura), pomoći (1.993,00 eura)  i donacija (853,22 eura). Višak pomoći čini višak prihoda od Centra izvrsnosti Splitsko-dalmatinske županije (413,65 eura) i viška MZOM za nabavku psihodijagnostičkih sredstava (1578,88 eura).  Ukupnoi višak nismo potrošili u cijelosti odnosno ostalo je neutrošeno ukupno 98,60 eura (89,28 eura od namjenskih prihoda i 9,32 eura od donacija). Realizacija po izvorima i aktivnostima je detaljno prikazana u posebnom dijelu izvještaja o izvršenju financijskog plana. </w:t>
      </w:r>
    </w:p>
    <w:p w14:paraId="6C35ED3E" w14:textId="77777777" w:rsidR="00603BA0" w:rsidRDefault="0000000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lastRenderedPageBreak/>
        <w:t xml:space="preserve">Usporedbom prihoda i rashoda prema ekonomskoj klasifikaciji evidentno je kako su u 2024. godini ostvareni veći prihodi i rashodi. Realizacija prihoda i rashoda u usporedbi s planiranim iznosima u 2024. je nešto manja. </w:t>
      </w:r>
    </w:p>
    <w:p w14:paraId="6BDB575C" w14:textId="77777777" w:rsidR="00603BA0" w:rsidRDefault="0000000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Usporedbom prema izvorima financiranja, ukupni prihodi i rashodi su veći u odnosu na 2023. godinu, ali manji u odnosu na tekući plan.  Izdvajaju se ostvarene donacije u 2024. godini  koje su manje od onih ostvarenih u 2023. godini i veće od planiranih u 2024. godini zbog neočekivane donacije knjiga za knjižnicu.</w:t>
      </w:r>
    </w:p>
    <w:p w14:paraId="58B35DBB" w14:textId="77777777" w:rsidR="00603BA0" w:rsidRDefault="0000000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Rashodi prema funkcijskoj klasifikaciji prikazuju dodatne usluge u obrazovanju koje su u 2024. godini manje od onih ostvarenih u 2023. godini. Razlog je smanjenje broja učenika budući se najveći udio odnosi na učeničku prehranu. </w:t>
      </w:r>
    </w:p>
    <w:p w14:paraId="741FABC4" w14:textId="77777777" w:rsidR="00603BA0" w:rsidRDefault="0000000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hr-HR" w:eastAsia="hr-HR" w:bidi="ar-SA"/>
        </w:rPr>
        <w:drawing>
          <wp:inline distT="0" distB="0" distL="0" distR="0" wp14:anchorId="3BE243F4" wp14:editId="7255C2E7">
            <wp:extent cx="5505450" cy="963295"/>
            <wp:effectExtent l="0" t="0" r="0" b="8255"/>
            <wp:docPr id="1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D806D" w14:textId="77777777" w:rsidR="00603BA0" w:rsidRDefault="00000000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Stanje ž-r je veće u odnosu na kraj 2023. godine odnosno na početak 2024. godine jer nismo potrošili vlastite prihode.</w:t>
      </w:r>
    </w:p>
    <w:p w14:paraId="6704CA1C" w14:textId="77777777" w:rsidR="00603BA0" w:rsidRDefault="00603BA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3DCA7F65" w14:textId="77777777" w:rsidR="00603BA0" w:rsidRDefault="00000000">
      <w:pPr>
        <w:pStyle w:val="Odlomakpopisa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OBRAZLOŽENJE POSEBNOG DIJELA </w:t>
      </w:r>
    </w:p>
    <w:p w14:paraId="1C861CC3" w14:textId="77777777" w:rsidR="00603BA0" w:rsidRDefault="00000000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Posebni dio prikazuje rashode odnosno izvršenje financijskog plana po programskoj, ekonomskoj klasifikaciji i izvorima financiranja, a ukupno je ostvareno 97% planiranih rashoda.  </w:t>
      </w:r>
    </w:p>
    <w:p w14:paraId="600A1ADD" w14:textId="77777777" w:rsidR="00603BA0" w:rsidRDefault="00603BA0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EB568B2" w14:textId="77777777" w:rsidR="00603BA0" w:rsidRDefault="00000000">
      <w:pPr>
        <w:pStyle w:val="Odlomakpopisa"/>
        <w:numPr>
          <w:ilvl w:val="2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PROGRAM: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DECENTRALIZIRANE FUNKCIJE –  MINIMALNI FINANCIJSKI STANDARD </w:t>
      </w:r>
    </w:p>
    <w:p w14:paraId="107E81C2" w14:textId="77777777" w:rsidR="00603BA0" w:rsidRDefault="00603BA0">
      <w:pPr>
        <w:jc w:val="both"/>
        <w:rPr>
          <w:rFonts w:ascii="Calibri" w:hAnsi="Calibri" w:cs="Calibri"/>
          <w:b/>
          <w:sz w:val="28"/>
          <w:szCs w:val="28"/>
        </w:rPr>
      </w:pPr>
    </w:p>
    <w:p w14:paraId="6044A426" w14:textId="77777777" w:rsidR="00603BA0" w:rsidRDefault="000000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CILJEVI PROVEDBE PROGRAMA DECENTRALIZIRANE FUNKCIJE –  MINIMALNI FINANCIJSKI STANDARD: </w:t>
      </w:r>
      <w:r>
        <w:rPr>
          <w:rFonts w:ascii="Calibri" w:hAnsi="Calibri" w:cs="Calibri"/>
          <w:sz w:val="24"/>
          <w:szCs w:val="24"/>
        </w:rPr>
        <w:t xml:space="preserve">Provođenje što kvalitetnijeg odgoja i obrazovanja učenika i podizanje pedagoškog standard kroz stručno osposobljavanje zaposlenika i kroz nabavku različitih nastavnih pomagla i opreme. </w:t>
      </w:r>
    </w:p>
    <w:p w14:paraId="445A3A3E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REDOVNA PROGRAMSKA DJELATNOST OSNOVNIH ŠKOLA</w:t>
      </w:r>
    </w:p>
    <w:p w14:paraId="547940B4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93.260 €</w:t>
      </w:r>
    </w:p>
    <w:p w14:paraId="4AB40D9C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93.260 €</w:t>
      </w:r>
    </w:p>
    <w:p w14:paraId="787AF9CD" w14:textId="77777777" w:rsidR="00603BA0" w:rsidRDefault="00000000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OBRAZLOŽENJE: Izvršeno u skladu s planom (100%).</w:t>
      </w:r>
    </w:p>
    <w:p w14:paraId="20CE2F67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PROJEKT: Kapitalna ulaganja u opremu-decentralizirana sredstva</w:t>
      </w:r>
    </w:p>
    <w:p w14:paraId="20FD34B2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7.513 €</w:t>
      </w:r>
    </w:p>
    <w:p w14:paraId="2CDB65EF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7.513€</w:t>
      </w:r>
      <w:r>
        <w:rPr>
          <w:rFonts w:ascii="Calibri" w:hAnsi="Calibri" w:cs="Calibri"/>
          <w:sz w:val="24"/>
          <w:szCs w:val="24"/>
        </w:rPr>
        <w:tab/>
      </w:r>
    </w:p>
    <w:p w14:paraId="77E2506C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OBRAZLOŽENJE: Potrošili smo sva planirana sredstava za nabavku školskog namještaja, projektora,stolnog računala, laptopa, klima uređaja, dogradnju sustava video nadzora i uređaja za tekuće i investicijsko održavanje.</w:t>
      </w:r>
    </w:p>
    <w:p w14:paraId="40342DD4" w14:textId="77777777" w:rsidR="00603BA0" w:rsidRDefault="00603BA0">
      <w:pPr>
        <w:spacing w:after="60"/>
        <w:jc w:val="both"/>
        <w:rPr>
          <w:rFonts w:ascii="Calibri" w:hAnsi="Calibri" w:cs="Calibri"/>
          <w:bCs/>
          <w:sz w:val="24"/>
          <w:szCs w:val="24"/>
        </w:rPr>
      </w:pPr>
    </w:p>
    <w:p w14:paraId="2CCEFBC1" w14:textId="77777777" w:rsidR="00603BA0" w:rsidRDefault="00000000">
      <w:p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POKAZATELJ REZULTATA PROGRAMA DECENTRALIZIRANE FUNKCIJE –  MINIMALNI FINANCIJSKI STANDARD: </w:t>
      </w:r>
      <w:r>
        <w:rPr>
          <w:rFonts w:ascii="Calibri" w:hAnsi="Calibri" w:cs="Calibri"/>
          <w:sz w:val="24"/>
          <w:szCs w:val="24"/>
        </w:rPr>
        <w:t>Zaposlenici su se stručno osposobljavali, nabavljena je oprema i čime se olakšala realizacija nastavnog plana i programa i poslovi na održavanju škoske zgrade i njene opreme.</w:t>
      </w:r>
    </w:p>
    <w:p w14:paraId="1B9CD782" w14:textId="77777777" w:rsidR="00603BA0" w:rsidRDefault="00603BA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6B045923" w14:textId="77777777" w:rsidR="00603BA0" w:rsidRDefault="00000000">
      <w:pPr>
        <w:pStyle w:val="Odlomakpopisa"/>
        <w:numPr>
          <w:ilvl w:val="2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PROGRAM: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ŠIRE JAVNE POTREBE – IZNAD MINIMALNOG STANDARDA </w:t>
      </w:r>
    </w:p>
    <w:p w14:paraId="20DC756C" w14:textId="77777777" w:rsidR="00603BA0" w:rsidRDefault="000000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CILJEVI PROVEDBE PROGRAMA: </w:t>
      </w:r>
      <w:r>
        <w:rPr>
          <w:rFonts w:ascii="Calibri" w:hAnsi="Calibri" w:cs="Calibri"/>
          <w:sz w:val="24"/>
          <w:szCs w:val="24"/>
        </w:rPr>
        <w:t>Provođenje raznih programa iznad minimalnog standard kako bi se podigla kvaliteta nastave i materijalnih uvjeta za dobrobit učenika i nastavnika.</w:t>
      </w:r>
    </w:p>
    <w:p w14:paraId="449184AE" w14:textId="77777777" w:rsidR="00603BA0" w:rsidRDefault="00603BA0">
      <w:pPr>
        <w:jc w:val="both"/>
        <w:rPr>
          <w:rFonts w:ascii="Calibri" w:hAnsi="Calibri" w:cs="Calibri"/>
          <w:sz w:val="24"/>
          <w:szCs w:val="24"/>
        </w:rPr>
      </w:pPr>
    </w:p>
    <w:p w14:paraId="1D9BD5E3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Sufinanciranje produženog boravka i cjelodnevne nastave </w:t>
      </w:r>
    </w:p>
    <w:p w14:paraId="7E6934A9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133.700 €</w:t>
      </w:r>
    </w:p>
    <w:p w14:paraId="25163760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125.437,91 €</w:t>
      </w:r>
    </w:p>
    <w:p w14:paraId="60571AA4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OBRAZLOŽENJE: Aktivnost se financira od strane Grada i roditelja. Realizirano je 94% ukupno planiranih rashoda. Rashodi koje financira  Grad bili su manji od planiranih, ali je realizacija kod namjenskih prihoda bila gotovo u skladu s planiranom.</w:t>
      </w:r>
    </w:p>
    <w:p w14:paraId="08A5EB56" w14:textId="77777777" w:rsidR="00603BA0" w:rsidRDefault="00603BA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041E8FA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Izvannastavne i izvanškolske aktivnosti</w:t>
      </w:r>
    </w:p>
    <w:p w14:paraId="5B93BB80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15.179 €</w:t>
      </w:r>
    </w:p>
    <w:p w14:paraId="4D8D00EE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12.650,32 €</w:t>
      </w:r>
    </w:p>
    <w:p w14:paraId="356985B9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OBRAZLOŽENJE: Projekti od Grada (Blago našeg Marjana, Dioklecijanova škrinjica i Klub mladih tehničara) su realizirani u potpunosti sukladno planu. Namjenski prihodi utrošili su se na osiguranje i prijevoz učenika, majice i nagrade za učenike dok smo donacijama financirali tiskanje školskog lista, zadaćnice i učeničke nagrade. Rashodi u ukupnom iznosu od 3.667,25 eura financirani su iz prenesenog viška. Višak u iznosu od 1.168,93 eura iz vlastitih prihoda utrošili smo za nabavku jarbola i zastava (Eko škola) i uslugu sanacije elektroinstalacija. Višak pomoći u iznosu od 1.992,53 eura utrošili smo za nabavku psihodijagnostičkih srdstava i za project CIMAJ. Višak donacija u iznosu od 505,79 utrošili smo za tiskanje školskog lista I nagrade učenicima.</w:t>
      </w:r>
    </w:p>
    <w:p w14:paraId="2C3BED30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12072242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Nabava udžbenika i pribora</w:t>
      </w:r>
    </w:p>
    <w:p w14:paraId="36B9ECF5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48.227 €</w:t>
      </w:r>
    </w:p>
    <w:p w14:paraId="15C44893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48.225,42 €</w:t>
      </w:r>
    </w:p>
    <w:p w14:paraId="2620F384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OBRAZLOŽENJE: Nabavka dodatnih obrazovnih materijala od strane Grada Splita i nabavka trajnih udžbenika koju financira MZOM realizirana je u potpunosti u skladu s planom.</w:t>
      </w:r>
    </w:p>
    <w:p w14:paraId="592AC6B3" w14:textId="77777777" w:rsidR="00603BA0" w:rsidRDefault="00603BA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915A043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Prometni odgoj i sigurnost u prometu- poligon</w:t>
      </w:r>
    </w:p>
    <w:p w14:paraId="2DB1FF03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400 €</w:t>
      </w:r>
    </w:p>
    <w:p w14:paraId="2090D34F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400 €</w:t>
      </w:r>
    </w:p>
    <w:p w14:paraId="6F074088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OBRAZLOŽENJE: Realiziran je prijevoz učenika na relaciji škola-poligon-škola u sklopu projekta Grada Splita.</w:t>
      </w:r>
    </w:p>
    <w:p w14:paraId="0443A283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Hitne intervencije</w:t>
      </w:r>
    </w:p>
    <w:p w14:paraId="31BE2DDE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450 €</w:t>
      </w:r>
    </w:p>
    <w:p w14:paraId="67F272EA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335,63 €</w:t>
      </w:r>
    </w:p>
    <w:p w14:paraId="5B2F6FF8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OBRAZLOŽENJE: Grad iz ove aktivnosti financira trošak štete na prozorima škole. Srećom,  realizacija je bila manja od planirane.</w:t>
      </w:r>
    </w:p>
    <w:p w14:paraId="45E76BB0" w14:textId="77777777" w:rsidR="00603BA0" w:rsidRDefault="00603BA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A1B1CAC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Projekt e-škole</w:t>
      </w:r>
    </w:p>
    <w:p w14:paraId="5D27D53D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3.088 €</w:t>
      </w:r>
    </w:p>
    <w:p w14:paraId="5C2C6E6F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3.087,12 €</w:t>
      </w:r>
    </w:p>
    <w:p w14:paraId="2F957A08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OBRAZLOŽENJE: Realizacija u skladu s planiranom, a odnosi se na trošak digitalnog uredskog poslovanja i trošak održavanja informatičke opreme.</w:t>
      </w:r>
    </w:p>
    <w:p w14:paraId="1477595A" w14:textId="77777777" w:rsidR="00603BA0" w:rsidRDefault="00603BA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1ABA05F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Sustav video nadzora</w:t>
      </w:r>
    </w:p>
    <w:p w14:paraId="70342BB5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473 €</w:t>
      </w:r>
    </w:p>
    <w:p w14:paraId="1C7DBEBC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472,50 €</w:t>
      </w:r>
    </w:p>
    <w:p w14:paraId="1F0AEF11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OBRAZLOŽENJE: Rashodi se odnose na izvanredni servis video nadzora. Realizacija je u skladu s planom.</w:t>
      </w:r>
    </w:p>
    <w:p w14:paraId="01821E92" w14:textId="77777777" w:rsidR="00603BA0" w:rsidRDefault="00603BA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7DB6DC6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Održavanje objekata OŠ</w:t>
      </w:r>
    </w:p>
    <w:p w14:paraId="380F419D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42.260 €</w:t>
      </w:r>
    </w:p>
    <w:p w14:paraId="3C54ECA4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42.259,19 €</w:t>
      </w:r>
    </w:p>
    <w:p w14:paraId="210729CB" w14:textId="77777777" w:rsidR="00603BA0" w:rsidRDefault="0000000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OBRAZLOŽENJE: Uz suglasnost  Grada tijekom ljetnih praznika obavljeni su ličilački radovi u učionicama i hodnicima škole kao i popravak i bojanje zidova.</w:t>
      </w:r>
    </w:p>
    <w:p w14:paraId="2ADB1EE6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</w:t>
      </w:r>
      <w:r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EU projekt „S pomoćnikom mogu bolje 6“</w:t>
      </w:r>
    </w:p>
    <w:p w14:paraId="333D2257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40.668 €</w:t>
      </w:r>
    </w:p>
    <w:p w14:paraId="4B5B33B4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40.665,42 €</w:t>
      </w:r>
    </w:p>
    <w:p w14:paraId="04DB60E7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</w:t>
      </w:r>
      <w:r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Realizacija projekta je bila u skladu s planom. Početkom nove školske godine 2024./2025. započeo je novi projekt. </w:t>
      </w:r>
    </w:p>
    <w:p w14:paraId="6F212F98" w14:textId="77777777" w:rsidR="00603BA0" w:rsidRDefault="00603BA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72BC477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PROJEKT: Prehrana učenika</w:t>
      </w:r>
    </w:p>
    <w:p w14:paraId="151CF8F4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97.256 €</w:t>
      </w:r>
    </w:p>
    <w:p w14:paraId="13875573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91.506,18 €</w:t>
      </w:r>
    </w:p>
    <w:p w14:paraId="49E5E814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Do uvođenja ovog projekta došlo je zbog odluke Vlade RH kojom se od siječnja 2023. godine uvodi obveza osiguranja obroka za učenike osnovnih škola. Projekt se financira od strane MZOM-a i Grada Splita (razlika u cijeni obroka). Realizirano je 94% ukupno planiranih rashoda. Veće odstupanje  od plana imamo  kod općih prihoda dok je realizacija  kod MZOM bila u skladu s planiranom. </w:t>
      </w:r>
    </w:p>
    <w:p w14:paraId="1405362A" w14:textId="77777777" w:rsidR="00603BA0" w:rsidRDefault="00603BA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6FB9624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PROJEKT: EU projekt „S pomoćnikom mogu bolje 7“</w:t>
      </w:r>
    </w:p>
    <w:p w14:paraId="1CBBB55A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28.500 €</w:t>
      </w:r>
    </w:p>
    <w:p w14:paraId="6829021A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26.980,08 €</w:t>
      </w:r>
    </w:p>
    <w:p w14:paraId="0842996F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OBRAZLOŽENJE: Projekt je započeo u novoj šk. god. 2024./2025. godine čime se nastavlja  EU projekt pomoćnika u nastavi, ali pod nazivom „S pomoćnikom mogu bolje 7“ i  trajati će do lipnja 2025. godine.</w:t>
      </w:r>
    </w:p>
    <w:p w14:paraId="7E04DFB5" w14:textId="77777777" w:rsidR="00603BA0" w:rsidRDefault="00603BA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C071F4A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POKAZATELJI REZULTATA PROGRAMA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ŠIRE JAVNE POTREBE- IZNAD MINIMALNOG STANDARDA: </w:t>
      </w:r>
      <w:r>
        <w:rPr>
          <w:rFonts w:ascii="Calibri" w:hAnsi="Calibri" w:cs="Calibri"/>
          <w:sz w:val="24"/>
          <w:szCs w:val="24"/>
        </w:rPr>
        <w:t>Škola provodi program produženog boravka. Učenici su uključeni u projekte Grada Splita ( Klub mladih tehničara, Poligon, Blago našeg Marjana i Dioklecijanova škrinjica) i projekt IRIM-a. Osigurani su besplatni udžbenici i besplatna prehrana za učenike od strane MZOM-a , a od strane Grada dodatni obrazovni materijali, pomoćnici u nastavi i razlika za prehranu. Grad financira  digitalno uredsko poslovanje i sredstva za održavanje informatičke opreme, a u 2024. godini nam je osigurao sredstva za popravak i bojanje zidova te sredstva za izvođenje ličilačkih radova u učionicama i hodnicima škole.</w:t>
      </w:r>
    </w:p>
    <w:p w14:paraId="58480929" w14:textId="77777777" w:rsidR="00603BA0" w:rsidRDefault="00603BA0">
      <w:pPr>
        <w:jc w:val="both"/>
        <w:rPr>
          <w:rFonts w:ascii="Calibri" w:hAnsi="Calibri" w:cs="Calibri"/>
          <w:sz w:val="24"/>
          <w:szCs w:val="24"/>
        </w:rPr>
      </w:pPr>
    </w:p>
    <w:p w14:paraId="5E945B56" w14:textId="77777777" w:rsidR="00603BA0" w:rsidRDefault="00000000">
      <w:pPr>
        <w:pStyle w:val="Odlomakpopisa"/>
        <w:numPr>
          <w:ilvl w:val="2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PROGRAM: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KAPITALNA ULAGANJA NA OBJEKTIMA OŠ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7C80CC3A" w14:textId="77777777" w:rsidR="00603BA0" w:rsidRDefault="000000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CILJEVI PROVEDBE PROGRAMA: </w:t>
      </w:r>
      <w:r>
        <w:rPr>
          <w:rFonts w:ascii="Calibri" w:hAnsi="Calibri" w:cs="Calibri"/>
          <w:sz w:val="24"/>
          <w:szCs w:val="24"/>
        </w:rPr>
        <w:t>Nabavka  opreme (školskog namještaja i informatičke opreme) i knjiga za školsku knjižnicu u cilju podizanja pedagoškog standard.</w:t>
      </w:r>
    </w:p>
    <w:p w14:paraId="7427D30A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PROJEKT: Kupnja opreme za OŠ</w:t>
      </w:r>
    </w:p>
    <w:p w14:paraId="36D81E25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16.800 €</w:t>
      </w:r>
    </w:p>
    <w:p w14:paraId="1C09407E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2.158,42 €</w:t>
      </w:r>
    </w:p>
    <w:p w14:paraId="29FBED74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OBRAZLOŽENJE: Kupnju opreme smo u 2024. godini financirali smo samo iz vlastitih prihoda. Realizacija je bila znatno manja od planirane odnosno samo 13 % jer smo većinu prihoda ostvarenih u 2024. godini ipak odlučili utrošiti u 2025. godini. Planirani preneseni višak u iznosu od 2.000,00 eura potrošili smo u cijelosti.</w:t>
      </w:r>
    </w:p>
    <w:p w14:paraId="40D14026" w14:textId="77777777" w:rsidR="00603BA0" w:rsidRDefault="00603BA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696D6CF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PROJEKT: Nabavka školske lektire</w:t>
      </w:r>
    </w:p>
    <w:p w14:paraId="53BB9758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2.260 €</w:t>
      </w:r>
    </w:p>
    <w:p w14:paraId="5EA9E422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2.836,11 €</w:t>
      </w:r>
    </w:p>
    <w:p w14:paraId="36A1CC09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OBRAZLOŽENJE: Projekt se financirao iz tri izvora. Realizacija od Grada je bila u skladu s planiranom. Realizacija od MZOM-a i donacija je bila veća od planirane. Prilikom planiranja ne raspolažemo s podatkom o visini sredstva koja će nam MZOM doznačiti,  a i nismo mogli predvidjeti da ćemo dobiti donaciju knjiga za knjižnicu. Preneseni višak od donacija u iznosu od 338,11 eura potrošili smo u cijelosti za nabavku knjiga za knjižnicu.</w:t>
      </w:r>
    </w:p>
    <w:p w14:paraId="781D4D62" w14:textId="77777777" w:rsidR="00603BA0" w:rsidRDefault="000000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POKAZATELJI REZULTATA PROGRAMA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KAPITALNA ULAGANJA NA OBJEKTIMA OŠ: </w:t>
      </w:r>
      <w:r>
        <w:rPr>
          <w:rFonts w:ascii="Calibri" w:hAnsi="Calibri" w:cs="Calibri"/>
          <w:sz w:val="24"/>
          <w:szCs w:val="24"/>
        </w:rPr>
        <w:t>Povećanje knjižnog fonda te nabavka razne opreme.</w:t>
      </w:r>
    </w:p>
    <w:p w14:paraId="172E99D2" w14:textId="77777777" w:rsidR="00603BA0" w:rsidRDefault="00603BA0">
      <w:pPr>
        <w:jc w:val="both"/>
        <w:rPr>
          <w:rFonts w:ascii="Calibri" w:hAnsi="Calibri" w:cs="Calibri"/>
          <w:sz w:val="24"/>
          <w:szCs w:val="24"/>
        </w:rPr>
      </w:pPr>
    </w:p>
    <w:p w14:paraId="71CFD272" w14:textId="77777777" w:rsidR="00603BA0" w:rsidRDefault="00000000">
      <w:pPr>
        <w:pStyle w:val="Odlomakpopisa"/>
        <w:numPr>
          <w:ilvl w:val="2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PROGRAM: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RASHODI ZA ZAPOSLENE U OŠ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CC9525B" w14:textId="77777777" w:rsidR="00603BA0" w:rsidRDefault="000000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CILJEVI PROVEDBE PROGRAMA: </w:t>
      </w:r>
      <w:r>
        <w:rPr>
          <w:rFonts w:ascii="Calibri" w:hAnsi="Calibri" w:cs="Calibri"/>
          <w:sz w:val="24"/>
          <w:szCs w:val="24"/>
        </w:rPr>
        <w:t>Pokrivanje troškova plaća, materijalnih prava, pravomoćnih presuda i ostalih prava zaposlenika.</w:t>
      </w:r>
    </w:p>
    <w:p w14:paraId="6269391C" w14:textId="77777777" w:rsidR="00603BA0" w:rsidRDefault="0000000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Rashodi za zaposlene u OŠ </w:t>
      </w:r>
    </w:p>
    <w:p w14:paraId="79C0CF05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1.476.200 €</w:t>
      </w:r>
    </w:p>
    <w:p w14:paraId="74D2E993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REALIZACIJA: 1.450.155,10 €</w:t>
      </w:r>
    </w:p>
    <w:p w14:paraId="5A57A8DB" w14:textId="77777777" w:rsidR="00603BA0" w:rsidRDefault="0000000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Ova se aktivnost financira isključivo od MZOM-a, a realizirano je 98% planiranih rashoda. U 2024. godini isplaćene su sve pravomoćne presude. </w:t>
      </w:r>
    </w:p>
    <w:p w14:paraId="6FF5CE85" w14:textId="77777777" w:rsidR="00603BA0" w:rsidRDefault="00603BA0">
      <w:pPr>
        <w:spacing w:after="60"/>
        <w:jc w:val="both"/>
        <w:rPr>
          <w:rFonts w:ascii="Calibri" w:hAnsi="Calibri" w:cs="Calibri"/>
          <w:sz w:val="24"/>
          <w:szCs w:val="24"/>
        </w:rPr>
      </w:pPr>
    </w:p>
    <w:p w14:paraId="4400B2E9" w14:textId="77777777" w:rsidR="00603BA0" w:rsidRDefault="000000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POKAZATELJ REZULTATA PROGRAMA RASHODI ZA ZAPOSLENE U OŠ</w:t>
      </w:r>
      <w:r>
        <w:rPr>
          <w:rFonts w:ascii="Calibri" w:hAnsi="Calibri" w:cs="Calibri"/>
          <w:sz w:val="24"/>
          <w:szCs w:val="24"/>
        </w:rPr>
        <w:t>:  MZOM je na vrijeme pokrivao sve rashode za plaće te materijalna i ostala prava zaposlenika.</w:t>
      </w:r>
    </w:p>
    <w:p w14:paraId="69DC7261" w14:textId="77777777" w:rsidR="00603BA0" w:rsidRDefault="00603BA0">
      <w:pPr>
        <w:jc w:val="both"/>
        <w:rPr>
          <w:rFonts w:ascii="Calibri" w:hAnsi="Calibri" w:cs="Calibri"/>
          <w:sz w:val="24"/>
          <w:szCs w:val="24"/>
        </w:rPr>
      </w:pPr>
    </w:p>
    <w:p w14:paraId="491CD5FE" w14:textId="77777777" w:rsidR="00603BA0" w:rsidRDefault="00000000">
      <w:pPr>
        <w:pStyle w:val="Odlomakpopisa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>POSEBNI IZVJEŠTAJI</w:t>
      </w:r>
    </w:p>
    <w:p w14:paraId="724A5A8C" w14:textId="77777777" w:rsidR="00603BA0" w:rsidRDefault="00603BA0">
      <w:pPr>
        <w:pStyle w:val="Odlomakpopisa"/>
        <w:spacing w:line="360" w:lineRule="auto"/>
        <w:ind w:left="360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29808E91" w14:textId="77777777" w:rsidR="00603BA0" w:rsidRDefault="00000000">
      <w:pPr>
        <w:pStyle w:val="Odlomakpopisa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IZVJEŠTAJ O STANJU POTRAŽIVANJA I DOSPJELIH OBVEZA TE O STANJU </w:t>
      </w:r>
    </w:p>
    <w:p w14:paraId="43EA251F" w14:textId="77777777" w:rsidR="00603BA0" w:rsidRDefault="00000000">
      <w:pPr>
        <w:pStyle w:val="Odlomakpopisa"/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>POTENCIJANIH OBVEZA PO OSNOVI SUDSKIH SPOROVA</w:t>
      </w:r>
    </w:p>
    <w:p w14:paraId="089EE4F1" w14:textId="77777777" w:rsidR="00603BA0" w:rsidRDefault="0000000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noProof/>
          <w:lang w:val="hr-HR" w:eastAsia="hr-HR" w:bidi="ar-SA"/>
        </w:rPr>
        <w:drawing>
          <wp:inline distT="0" distB="0" distL="0" distR="0" wp14:anchorId="5F22FAE6" wp14:editId="5C002172">
            <wp:extent cx="4286250" cy="962025"/>
            <wp:effectExtent l="0" t="0" r="0" b="9525"/>
            <wp:docPr id="1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19A63" w14:textId="77777777" w:rsidR="00603BA0" w:rsidRDefault="00603BA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684CA194" w14:textId="77777777" w:rsidR="00603BA0" w:rsidRDefault="00000000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Nenaplaćena potraživanja odnose se na potraživanja od roditelja za produženi boravak (3.621,50 </w:t>
      </w:r>
      <w:r>
        <w:rPr>
          <w:rFonts w:ascii="Calibri" w:hAnsi="Calibri" w:cs="Calibri"/>
          <w:sz w:val="24"/>
          <w:szCs w:val="24"/>
        </w:rPr>
        <w:t>€), potraživanja za najam školske dvorane (249,00 €) i potraživanje od HEP Opskrbe d.d. za proizvedenu električnu energiju-solari (505,51 €).</w:t>
      </w:r>
    </w:p>
    <w:p w14:paraId="5EDF8DE5" w14:textId="77777777" w:rsidR="00603BA0" w:rsidRDefault="00603BA0">
      <w:pPr>
        <w:spacing w:after="60"/>
        <w:jc w:val="both"/>
        <w:rPr>
          <w:rFonts w:ascii="Calibri" w:hAnsi="Calibri" w:cs="Calibri"/>
          <w:sz w:val="24"/>
          <w:szCs w:val="24"/>
        </w:rPr>
      </w:pPr>
    </w:p>
    <w:p w14:paraId="41536FF2" w14:textId="77777777" w:rsidR="00603BA0" w:rsidRDefault="00000000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Nemamo dospjelih obveze niti potencijalne obveze po osnovi sudskih sporova budući smo isplatili sve pravomoćne presude.</w:t>
      </w:r>
    </w:p>
    <w:p w14:paraId="38FA6404" w14:textId="77777777" w:rsidR="00603BA0" w:rsidRDefault="00603BA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78DBC3C4" w14:textId="77777777" w:rsidR="00603BA0" w:rsidRDefault="00000000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Ostali posebni izvještaji nisu dio ovog izvještaja jer se OŠ Brda  nije zaduživala na domaćem i stranom tržitu novca i kapitala, nije koristila sredstva fondova Europske unije, nije davala zajmove i nije davala jamstva i plaćanja po protestnim jamstvima.</w:t>
      </w:r>
    </w:p>
    <w:p w14:paraId="21F24000" w14:textId="77777777" w:rsidR="00603BA0" w:rsidRDefault="00603BA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658DF4F9" w14:textId="77777777" w:rsidR="00603BA0" w:rsidRDefault="00603BA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11FBDE69" w14:textId="77777777" w:rsidR="00603BA0" w:rsidRDefault="00603BA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06900F7B" w14:textId="77777777" w:rsidR="00603BA0" w:rsidRDefault="00000000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i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>Ravnateljica</w:t>
      </w:r>
    </w:p>
    <w:p w14:paraId="5FAE9109" w14:textId="77777777" w:rsidR="00603BA0" w:rsidRDefault="00000000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>___________________</w:t>
      </w:r>
    </w:p>
    <w:p w14:paraId="46FEFEAE" w14:textId="77777777" w:rsidR="00603BA0" w:rsidRDefault="00000000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>Katarina Zelić, dipl. uč.</w:t>
      </w:r>
    </w:p>
    <w:sectPr w:rsidR="00603BA0">
      <w:footerReference w:type="default" r:id="rId24"/>
      <w:headerReference w:type="first" r:id="rId2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349BA" w14:textId="77777777" w:rsidR="005C04EC" w:rsidRDefault="005C04EC">
      <w:pPr>
        <w:spacing w:after="0"/>
      </w:pPr>
      <w:r>
        <w:separator/>
      </w:r>
    </w:p>
  </w:endnote>
  <w:endnote w:type="continuationSeparator" w:id="0">
    <w:p w14:paraId="418C14F7" w14:textId="77777777" w:rsidR="005C04EC" w:rsidRDefault="005C04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6514535"/>
      <w:docPartObj>
        <w:docPartGallery w:val="Page Numbers (Bottom of Page)"/>
        <w:docPartUnique/>
      </w:docPartObj>
    </w:sdtPr>
    <w:sdtContent>
      <w:p w14:paraId="7957F461" w14:textId="77777777" w:rsidR="00603BA0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hr-HR"/>
          </w:rPr>
          <w:t>15</w:t>
        </w:r>
        <w:r>
          <w:fldChar w:fldCharType="end"/>
        </w:r>
      </w:p>
    </w:sdtContent>
  </w:sdt>
  <w:p w14:paraId="3E4714F1" w14:textId="77777777" w:rsidR="00603BA0" w:rsidRDefault="00603BA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41C3F" w14:textId="77777777" w:rsidR="005C04EC" w:rsidRDefault="005C04EC">
      <w:pPr>
        <w:spacing w:after="0"/>
      </w:pPr>
      <w:r>
        <w:separator/>
      </w:r>
    </w:p>
  </w:footnote>
  <w:footnote w:type="continuationSeparator" w:id="0">
    <w:p w14:paraId="08D97018" w14:textId="77777777" w:rsidR="005C04EC" w:rsidRDefault="005C04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1655A" w14:textId="77777777" w:rsidR="00603BA0" w:rsidRDefault="00603BA0">
    <w:pPr>
      <w:pStyle w:val="Zaglavlje"/>
      <w:jc w:val="center"/>
    </w:pPr>
  </w:p>
  <w:p w14:paraId="32B9F481" w14:textId="77777777" w:rsidR="00603BA0" w:rsidRDefault="00603BA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94C"/>
    <w:multiLevelType w:val="multilevel"/>
    <w:tmpl w:val="7E0C12B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C232C9"/>
    <w:multiLevelType w:val="multilevel"/>
    <w:tmpl w:val="C11A9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B98"/>
    <w:multiLevelType w:val="multilevel"/>
    <w:tmpl w:val="52FE3C2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9761D5"/>
    <w:multiLevelType w:val="multilevel"/>
    <w:tmpl w:val="7708FC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514180"/>
    <w:multiLevelType w:val="multilevel"/>
    <w:tmpl w:val="10501E08"/>
    <w:lvl w:ilvl="0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47E52"/>
    <w:multiLevelType w:val="multilevel"/>
    <w:tmpl w:val="0DF86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86E74F0"/>
    <w:multiLevelType w:val="multilevel"/>
    <w:tmpl w:val="0ECC2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DA72D0"/>
    <w:multiLevelType w:val="multilevel"/>
    <w:tmpl w:val="E9BC833A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B9150B1"/>
    <w:multiLevelType w:val="multilevel"/>
    <w:tmpl w:val="9D0419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1C"/>
    <w:multiLevelType w:val="multilevel"/>
    <w:tmpl w:val="5908EB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E06B7D"/>
    <w:multiLevelType w:val="multilevel"/>
    <w:tmpl w:val="24E6054C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FD517D"/>
    <w:multiLevelType w:val="multilevel"/>
    <w:tmpl w:val="6D340340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16041D"/>
    <w:multiLevelType w:val="multilevel"/>
    <w:tmpl w:val="40709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B4EAB"/>
    <w:multiLevelType w:val="multilevel"/>
    <w:tmpl w:val="13CA7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515B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0C061D"/>
    <w:multiLevelType w:val="multilevel"/>
    <w:tmpl w:val="10C81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25923"/>
    <w:multiLevelType w:val="multilevel"/>
    <w:tmpl w:val="A260C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24B95"/>
    <w:multiLevelType w:val="multilevel"/>
    <w:tmpl w:val="2D149D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F26144"/>
    <w:multiLevelType w:val="multilevel"/>
    <w:tmpl w:val="38F0A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34247F"/>
    <w:multiLevelType w:val="multilevel"/>
    <w:tmpl w:val="59360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F41FB"/>
    <w:multiLevelType w:val="multilevel"/>
    <w:tmpl w:val="9BA468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E04847"/>
    <w:multiLevelType w:val="multilevel"/>
    <w:tmpl w:val="3692F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7062F"/>
    <w:multiLevelType w:val="multilevel"/>
    <w:tmpl w:val="14EE43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3E46CD"/>
    <w:multiLevelType w:val="multilevel"/>
    <w:tmpl w:val="57F25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23AFC"/>
    <w:multiLevelType w:val="multilevel"/>
    <w:tmpl w:val="3D3469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E360E1"/>
    <w:multiLevelType w:val="multilevel"/>
    <w:tmpl w:val="9DB23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7698C"/>
    <w:multiLevelType w:val="multilevel"/>
    <w:tmpl w:val="4FD078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B4E3A"/>
    <w:multiLevelType w:val="multilevel"/>
    <w:tmpl w:val="7E9457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7A368E"/>
    <w:multiLevelType w:val="multilevel"/>
    <w:tmpl w:val="126E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E4483"/>
    <w:multiLevelType w:val="multilevel"/>
    <w:tmpl w:val="81A8A3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606A55"/>
    <w:multiLevelType w:val="multilevel"/>
    <w:tmpl w:val="EAF421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15BF2"/>
    <w:multiLevelType w:val="multilevel"/>
    <w:tmpl w:val="A99C661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12B6F3F"/>
    <w:multiLevelType w:val="multilevel"/>
    <w:tmpl w:val="3AFAEBD0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9523CB"/>
    <w:multiLevelType w:val="multilevel"/>
    <w:tmpl w:val="C86EA86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6B2D7F"/>
    <w:multiLevelType w:val="multilevel"/>
    <w:tmpl w:val="D0B8A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60808"/>
    <w:multiLevelType w:val="multilevel"/>
    <w:tmpl w:val="A8F2C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D51E9D"/>
    <w:multiLevelType w:val="multilevel"/>
    <w:tmpl w:val="B058BD92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5ED53D1"/>
    <w:multiLevelType w:val="multilevel"/>
    <w:tmpl w:val="4E2668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FB64A9"/>
    <w:multiLevelType w:val="multilevel"/>
    <w:tmpl w:val="B9403E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C87E7F"/>
    <w:multiLevelType w:val="multilevel"/>
    <w:tmpl w:val="237828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524715"/>
    <w:multiLevelType w:val="multilevel"/>
    <w:tmpl w:val="93AC94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5A6552"/>
    <w:multiLevelType w:val="multilevel"/>
    <w:tmpl w:val="11AE84F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7E540E"/>
    <w:multiLevelType w:val="multilevel"/>
    <w:tmpl w:val="3820952E"/>
    <w:lvl w:ilvl="0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7B077CB0"/>
    <w:multiLevelType w:val="multilevel"/>
    <w:tmpl w:val="84E01A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1156698">
    <w:abstractNumId w:val="0"/>
  </w:num>
  <w:num w:numId="2" w16cid:durableId="2078701181">
    <w:abstractNumId w:val="1"/>
  </w:num>
  <w:num w:numId="3" w16cid:durableId="120613041">
    <w:abstractNumId w:val="2"/>
  </w:num>
  <w:num w:numId="4" w16cid:durableId="1868711887">
    <w:abstractNumId w:val="3"/>
  </w:num>
  <w:num w:numId="5" w16cid:durableId="1629895055">
    <w:abstractNumId w:val="4"/>
  </w:num>
  <w:num w:numId="6" w16cid:durableId="1153106913">
    <w:abstractNumId w:val="5"/>
  </w:num>
  <w:num w:numId="7" w16cid:durableId="793987726">
    <w:abstractNumId w:val="6"/>
  </w:num>
  <w:num w:numId="8" w16cid:durableId="1761102785">
    <w:abstractNumId w:val="7"/>
  </w:num>
  <w:num w:numId="9" w16cid:durableId="1222016330">
    <w:abstractNumId w:val="8"/>
  </w:num>
  <w:num w:numId="10" w16cid:durableId="343703034">
    <w:abstractNumId w:val="9"/>
  </w:num>
  <w:num w:numId="11" w16cid:durableId="1282230237">
    <w:abstractNumId w:val="10"/>
  </w:num>
  <w:num w:numId="12" w16cid:durableId="1439443440">
    <w:abstractNumId w:val="11"/>
  </w:num>
  <w:num w:numId="13" w16cid:durableId="507908452">
    <w:abstractNumId w:val="12"/>
  </w:num>
  <w:num w:numId="14" w16cid:durableId="402878062">
    <w:abstractNumId w:val="13"/>
  </w:num>
  <w:num w:numId="15" w16cid:durableId="1538657994">
    <w:abstractNumId w:val="14"/>
  </w:num>
  <w:num w:numId="16" w16cid:durableId="1876387290">
    <w:abstractNumId w:val="15"/>
  </w:num>
  <w:num w:numId="17" w16cid:durableId="463618521">
    <w:abstractNumId w:val="16"/>
  </w:num>
  <w:num w:numId="18" w16cid:durableId="2026008315">
    <w:abstractNumId w:val="17"/>
  </w:num>
  <w:num w:numId="19" w16cid:durableId="1196505721">
    <w:abstractNumId w:val="18"/>
  </w:num>
  <w:num w:numId="20" w16cid:durableId="790635086">
    <w:abstractNumId w:val="19"/>
  </w:num>
  <w:num w:numId="21" w16cid:durableId="1532111411">
    <w:abstractNumId w:val="20"/>
  </w:num>
  <w:num w:numId="22" w16cid:durableId="157042932">
    <w:abstractNumId w:val="21"/>
  </w:num>
  <w:num w:numId="23" w16cid:durableId="477383756">
    <w:abstractNumId w:val="22"/>
  </w:num>
  <w:num w:numId="24" w16cid:durableId="1404252210">
    <w:abstractNumId w:val="23"/>
  </w:num>
  <w:num w:numId="25" w16cid:durableId="429938714">
    <w:abstractNumId w:val="24"/>
  </w:num>
  <w:num w:numId="26" w16cid:durableId="44453349">
    <w:abstractNumId w:val="25"/>
  </w:num>
  <w:num w:numId="27" w16cid:durableId="1552226213">
    <w:abstractNumId w:val="26"/>
  </w:num>
  <w:num w:numId="28" w16cid:durableId="1990749119">
    <w:abstractNumId w:val="27"/>
  </w:num>
  <w:num w:numId="29" w16cid:durableId="1499534676">
    <w:abstractNumId w:val="28"/>
  </w:num>
  <w:num w:numId="30" w16cid:durableId="199098727">
    <w:abstractNumId w:val="29"/>
  </w:num>
  <w:num w:numId="31" w16cid:durableId="1934826052">
    <w:abstractNumId w:val="30"/>
  </w:num>
  <w:num w:numId="32" w16cid:durableId="664094719">
    <w:abstractNumId w:val="31"/>
  </w:num>
  <w:num w:numId="33" w16cid:durableId="1392120167">
    <w:abstractNumId w:val="32"/>
  </w:num>
  <w:num w:numId="34" w16cid:durableId="1624144240">
    <w:abstractNumId w:val="33"/>
  </w:num>
  <w:num w:numId="35" w16cid:durableId="1151949252">
    <w:abstractNumId w:val="34"/>
  </w:num>
  <w:num w:numId="36" w16cid:durableId="2116048054">
    <w:abstractNumId w:val="35"/>
  </w:num>
  <w:num w:numId="37" w16cid:durableId="30343384">
    <w:abstractNumId w:val="36"/>
  </w:num>
  <w:num w:numId="38" w16cid:durableId="905646281">
    <w:abstractNumId w:val="37"/>
  </w:num>
  <w:num w:numId="39" w16cid:durableId="1064638950">
    <w:abstractNumId w:val="38"/>
  </w:num>
  <w:num w:numId="40" w16cid:durableId="2067874084">
    <w:abstractNumId w:val="39"/>
  </w:num>
  <w:num w:numId="41" w16cid:durableId="2001928448">
    <w:abstractNumId w:val="40"/>
  </w:num>
  <w:num w:numId="42" w16cid:durableId="205681029">
    <w:abstractNumId w:val="41"/>
  </w:num>
  <w:num w:numId="43" w16cid:durableId="1337534695">
    <w:abstractNumId w:val="42"/>
  </w:num>
  <w:num w:numId="44" w16cid:durableId="2631555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0"/>
    <w:rsid w:val="005C04EC"/>
    <w:rsid w:val="00603BA0"/>
    <w:rsid w:val="007F4D7E"/>
    <w:rsid w:val="00CD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E4D2"/>
  <w15:docId w15:val="{B5B1CCA3-F5BD-43E3-9CC2-B53B0F5F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eastAsiaTheme="majorEastAsia" w:cstheme="majorBidi"/>
      <w:caps/>
      <w:color w:val="632423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caps/>
      <w:color w:val="632423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aps/>
      <w:color w:val="622423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caps/>
      <w:color w:val="622423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aps/>
      <w:color w:val="622423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caps/>
      <w:color w:val="943634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i/>
      <w:iCs/>
      <w:caps/>
      <w:color w:val="943634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Pr>
      <w:rFonts w:eastAsiaTheme="majorEastAsia" w:cstheme="majorBidi"/>
      <w:caps/>
      <w:color w:val="632423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aps/>
      <w:spacing w:val="20"/>
      <w:sz w:val="18"/>
      <w:szCs w:val="18"/>
    </w:rPr>
  </w:style>
  <w:style w:type="character" w:styleId="Naglaeno">
    <w:name w:val="Strong"/>
    <w:basedOn w:val="Zadanifontodlomka"/>
    <w:uiPriority w:val="22"/>
    <w:qFormat/>
    <w:rPr>
      <w:b/>
      <w:bCs/>
      <w:color w:val="943634"/>
      <w:spacing w:val="5"/>
    </w:rPr>
  </w:style>
  <w:style w:type="character" w:styleId="Istaknuto">
    <w:name w:val="Emphasis"/>
    <w:basedOn w:val="Zadanifontodlomka"/>
    <w:uiPriority w:val="20"/>
    <w:qFormat/>
    <w:rPr>
      <w:caps/>
      <w:spacing w:val="5"/>
      <w:sz w:val="20"/>
      <w:szCs w:val="20"/>
    </w:rPr>
  </w:style>
  <w:style w:type="paragraph" w:customStyle="1" w:styleId="Bezproreda1">
    <w:name w:val="Bez proreda1"/>
    <w:basedOn w:val="Normal"/>
    <w:link w:val="BezproredaChar"/>
    <w:uiPriority w:val="1"/>
    <w:qFormat/>
    <w:pPr>
      <w:spacing w:after="0"/>
    </w:pPr>
  </w:style>
  <w:style w:type="character" w:customStyle="1" w:styleId="BezproredaChar">
    <w:name w:val="Bez proreda Char"/>
    <w:basedOn w:val="Zadanifontodlomka"/>
    <w:link w:val="Bezproreda1"/>
    <w:uiPriority w:val="1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Pr>
      <w:rFonts w:eastAsiaTheme="majorEastAsia" w:cstheme="majorBidi"/>
      <w:i/>
      <w:iCs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uiPriority w:val="30"/>
    <w:rPr>
      <w:rFonts w:eastAsiaTheme="majorEastAsia" w:cstheme="majorBidi"/>
      <w:caps/>
      <w:color w:val="622423"/>
      <w:spacing w:val="5"/>
      <w:sz w:val="20"/>
      <w:szCs w:val="20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character" w:customStyle="1" w:styleId="Jakoisticanje1">
    <w:name w:val="Jako isticanje1"/>
    <w:basedOn w:val="Zadanifontodlomka"/>
    <w:uiPriority w:val="21"/>
    <w:qFormat/>
    <w:rPr>
      <w:i/>
      <w:iCs/>
      <w:caps/>
      <w:spacing w:val="10"/>
      <w:sz w:val="20"/>
      <w:szCs w:val="20"/>
    </w:rPr>
  </w:style>
  <w:style w:type="character" w:customStyle="1" w:styleId="Neupadljivareferenca1">
    <w:name w:val="Neupadljiva referenca1"/>
    <w:basedOn w:val="Zadanifontodlomka"/>
    <w:uiPriority w:val="31"/>
    <w:qFormat/>
    <w:rPr>
      <w:rFonts w:asciiTheme="minorHAnsi" w:eastAsiaTheme="minorEastAsia" w:hAnsiTheme="minorHAnsi" w:cstheme="minorBidi"/>
      <w:i/>
      <w:iCs/>
      <w:color w:val="622423"/>
    </w:rPr>
  </w:style>
  <w:style w:type="character" w:customStyle="1" w:styleId="Istaknutareferenca1">
    <w:name w:val="Istaknuta referenca1"/>
    <w:basedOn w:val="Zadanifontodlomka"/>
    <w:uiPriority w:val="32"/>
    <w:qFormat/>
    <w:rPr>
      <w:rFonts w:asciiTheme="minorHAnsi" w:eastAsiaTheme="minorEastAsia" w:hAnsiTheme="minorHAnsi" w:cstheme="minorBidi"/>
      <w:b/>
      <w:bCs/>
      <w:i/>
      <w:iCs/>
      <w:color w:val="622423"/>
    </w:rPr>
  </w:style>
  <w:style w:type="character" w:customStyle="1" w:styleId="Naslovknjige1">
    <w:name w:val="Naslov knjige1"/>
    <w:basedOn w:val="Zadanifontodlomka"/>
    <w:uiPriority w:val="33"/>
    <w:qFormat/>
    <w:rPr>
      <w:caps/>
      <w:color w:val="622423"/>
      <w:spacing w:val="5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</w:style>
  <w:style w:type="paragraph" w:styleId="Tekstbalonia">
    <w:name w:val="Balloon Text"/>
    <w:basedOn w:val="Normal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uiPriority w:val="99"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18"/>
      <w:szCs w:val="18"/>
      <w:lang w:val="hr-HR" w:eastAsia="hr-HR" w:bidi="ar-SA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75">
    <w:name w:val="xl75"/>
    <w:basedOn w:val="Normal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hr-HR" w:eastAsia="hr-HR" w:bidi="ar-SA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5">
    <w:name w:val="xl85"/>
    <w:basedOn w:val="Normal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hr-HR" w:eastAsia="hr-HR" w:bidi="ar-SA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hr-HR" w:eastAsia="hr-HR" w:bidi="ar-SA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6"/>
      <w:szCs w:val="16"/>
      <w:lang w:val="hr-HR" w:eastAsia="hr-HR" w:bidi="ar-SA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6"/>
      <w:szCs w:val="16"/>
      <w:lang w:val="hr-HR" w:eastAsia="hr-HR" w:bidi="ar-SA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hr-HR" w:eastAsia="hr-HR" w:bidi="ar-SA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hr-HR" w:eastAsia="hr-HR" w:bidi="ar-SA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hr-HR" w:eastAsia="hr-HR" w:bidi="ar-SA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hr-HR" w:eastAsia="hr-HR" w:bidi="ar-SA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sz w:val="18"/>
      <w:szCs w:val="18"/>
      <w:lang w:val="hr-HR" w:eastAsia="hr-HR" w:bidi="ar-SA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FF0000"/>
      <w:sz w:val="18"/>
      <w:szCs w:val="18"/>
      <w:lang w:val="hr-HR" w:eastAsia="hr-HR" w:bidi="ar-SA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val="hr-HR" w:eastAsia="hr-HR" w:bidi="ar-SA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13">
    <w:name w:val="xl11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14">
    <w:name w:val="xl11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4"/>
      <w:szCs w:val="24"/>
      <w:lang w:val="hr-HR" w:eastAsia="hr-HR" w:bidi="ar-SA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16">
    <w:name w:val="xl11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17">
    <w:name w:val="xl11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18">
    <w:name w:val="xl11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19">
    <w:name w:val="xl11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20">
    <w:name w:val="xl12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21">
    <w:name w:val="xl121"/>
    <w:basedOn w:val="Normal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hr-HR" w:eastAsia="hr-HR" w:bidi="ar-SA"/>
    </w:rPr>
  </w:style>
  <w:style w:type="paragraph" w:customStyle="1" w:styleId="xl122">
    <w:name w:val="xl12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23">
    <w:name w:val="xl12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24">
    <w:name w:val="xl12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table" w:styleId="Reetkatablice">
    <w:name w:val="Table Grid"/>
    <w:basedOn w:val="Obinatablica"/>
    <w:uiPriority w:val="39"/>
    <w:pPr>
      <w:spacing w:after="0"/>
    </w:pPr>
    <w:rPr>
      <w:rFonts w:asciiTheme="minorHAnsi" w:hAnsiTheme="minorHAnsi" w:cstheme="minorBidi"/>
      <w:lang w:val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1">
    <w:name w:val="xl13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2">
    <w:name w:val="xl13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3">
    <w:name w:val="xl133"/>
    <w:basedOn w:val="Normal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hr-HR" w:eastAsia="hr-HR" w:bidi="ar-SA"/>
    </w:rPr>
  </w:style>
  <w:style w:type="paragraph" w:customStyle="1" w:styleId="xl134">
    <w:name w:val="xl13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36">
    <w:name w:val="xl13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37">
    <w:name w:val="xl1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E75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2"/>
      <w:szCs w:val="12"/>
      <w:lang w:val="hr-HR" w:eastAsia="hr-HR" w:bidi="ar-SA"/>
    </w:rPr>
  </w:style>
  <w:style w:type="paragraph" w:customStyle="1" w:styleId="xl138">
    <w:name w:val="xl1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2"/>
      <w:szCs w:val="12"/>
      <w:lang w:val="hr-HR" w:eastAsia="hr-HR" w:bidi="ar-SA"/>
    </w:rPr>
  </w:style>
  <w:style w:type="paragraph" w:customStyle="1" w:styleId="xl139">
    <w:name w:val="xl1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 w:bidi="ar-SA"/>
    </w:rPr>
  </w:style>
  <w:style w:type="paragraph" w:customStyle="1" w:styleId="xl140">
    <w:name w:val="xl1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 w:bidi="ar-SA"/>
    </w:rPr>
  </w:style>
  <w:style w:type="paragraph" w:customStyle="1" w:styleId="xl141">
    <w:name w:val="xl1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535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2">
    <w:name w:val="xl1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 w:bidi="ar-SA"/>
    </w:rPr>
  </w:style>
  <w:style w:type="paragraph" w:customStyle="1" w:styleId="xl143">
    <w:name w:val="xl1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4">
    <w:name w:val="xl1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5">
    <w:name w:val="xl1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6">
    <w:name w:val="xl1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47">
    <w:name w:val="xl1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48">
    <w:name w:val="xl1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49">
    <w:name w:val="xl1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63">
    <w:name w:val="xl63"/>
    <w:basedOn w:val="Normal"/>
    <w:pPr>
      <w:pBdr>
        <w:top w:val="single" w:sz="12" w:space="0" w:color="000000"/>
        <w:bottom w:val="single" w:sz="12" w:space="0" w:color="000000"/>
      </w:pBdr>
      <w:shd w:val="clear" w:color="000000" w:fill="3366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FFFFFF"/>
      <w:sz w:val="18"/>
      <w:szCs w:val="18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C6B0-468B-4B4E-8914-604F0403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2133</Words>
  <Characters>12161</Characters>
  <Application>Microsoft Office Word</Application>
  <DocSecurity>0</DocSecurity>
  <Lines>101</Lines>
  <Paragraphs>28</Paragraphs>
  <ScaleCrop>false</ScaleCrop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Magdalena Budimir</cp:lastModifiedBy>
  <cp:revision>2</cp:revision>
  <cp:lastPrinted>2025-03-31T12:48:00Z</cp:lastPrinted>
  <dcterms:created xsi:type="dcterms:W3CDTF">2025-03-31T12:48:00Z</dcterms:created>
  <dcterms:modified xsi:type="dcterms:W3CDTF">2025-03-31T12:48:00Z</dcterms:modified>
</cp:coreProperties>
</file>