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86AA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6AAE" w:rsidRDefault="009056B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86AAE" w:rsidRDefault="009056BE">
            <w:pPr>
              <w:spacing w:after="0" w:line="240" w:lineRule="auto"/>
            </w:pPr>
            <w:r>
              <w:t>13359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6AAE" w:rsidRDefault="009056B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86AAE" w:rsidRDefault="009056BE">
            <w:pPr>
              <w:spacing w:after="0" w:line="240" w:lineRule="auto"/>
            </w:pPr>
            <w:r>
              <w:t>OSNOVNA ŠKOLA BRDA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6AAE" w:rsidRDefault="009056B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86AAE" w:rsidRDefault="009056BE">
            <w:pPr>
              <w:spacing w:after="0" w:line="240" w:lineRule="auto"/>
            </w:pPr>
            <w:r>
              <w:t>31</w:t>
            </w:r>
          </w:p>
        </w:tc>
      </w:tr>
    </w:tbl>
    <w:p w:rsidR="00A86AAE" w:rsidRDefault="009056BE">
      <w:r>
        <w:br/>
      </w:r>
    </w:p>
    <w:p w:rsidR="00A86AAE" w:rsidRDefault="009056B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86AAE" w:rsidRDefault="009056B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86AAE" w:rsidRDefault="009056BE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1.947.341,70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1.985.790,18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1.929.623,04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2.073.905,48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88.115,30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18.319,36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32.221,72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18.319,36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32.221,72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175,9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120.337,02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 xml:space="preserve">U 2025. godini ostvareni su veći ukupni prihodi i ukupni rashodi poslovanja.  Rashodi su znatno veći zbog primjene novog Pravilnika odnosno novog pravila evidentiranja rashoda za plaće zbog čega je ostvaren manjak prihoda poslovanja.  Ostvaren je i znatno </w:t>
      </w:r>
      <w:r>
        <w:t>veći manjak prihoda od nefinancijske imovine prvenstveno zbog nabavke opreme iz  vlastitih prihoda. Rezultat poslovanja 2025. godine je manjak prihoda i primitaka od 120.337,03 eura.  Kada ostvarenom rezultatu dodamo preneseni manjak iz 2024. godine u izno</w:t>
      </w:r>
      <w:r>
        <w:t xml:space="preserve">su od 29.508,73 eura </w:t>
      </w:r>
      <w:r>
        <w:lastRenderedPageBreak/>
        <w:t>dobivamo konačni rezultat poslovanja za 2025. godinu odnosno manjak prihoda i primitaka za pokriće u sljedećem razdoblju u iznosu od 149.845,75 eura.</w:t>
      </w:r>
    </w:p>
    <w:p w:rsidR="00A86AAE" w:rsidRDefault="009056BE">
      <w:r>
        <w:br/>
      </w:r>
    </w:p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6.551,83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10.614,46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162,0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Povećanje zbog većih rashoda za trajne udžbenike.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61.490,71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66.723,04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Povećanje zbog većeg broja djece koji su uključeni u  program produženog boravka. 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359,8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Povećanje zbog prihoda od prodaje viška el. energije nakon ugradnje solarnih panela.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58,3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Smanjenje zbog gašenja ž-r.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370,6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 xml:space="preserve">Povećanje zbog realizacije nabavke </w:t>
      </w:r>
      <w:proofErr w:type="spellStart"/>
      <w:r>
        <w:t>psihodijagnostičkih</w:t>
      </w:r>
      <w:proofErr w:type="spellEnd"/>
      <w:r>
        <w:t xml:space="preserve"> sredstava.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4.376,01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135.598,68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3098,7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Povećanje zbog primjene novog Pravilnika i evidentiranja potraživanja i obračunatih prihoda za dobivanje pomoći unutar općeg proračuna.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18.319,36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32.221,72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175,9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 xml:space="preserve">Povećanje prvenstveno  zbog provođenja Odluke o raspodjeli rezultata </w:t>
      </w:r>
      <w:proofErr w:type="spellStart"/>
      <w:r>
        <w:t>posl</w:t>
      </w:r>
      <w:proofErr w:type="spellEnd"/>
      <w:r>
        <w:t>. za 2024. godinu kojom je odlučeno kako će se 2/3 prenesenog viška iz vlastitih prihoda utrošiti za nabavku opreme.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29.508,73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149.845,75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507,8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Gledajući sve izvore financiranja dobili smo ukupni rezultat poslovanja za 2025. godinu odnosno manjak prihoda i primitaka za pokriće u sljedećem razdoblju. Prevladao je manjak prihoda poslovanja i manjak prihoda od nefin. imovine  iz općih prihoda i primi</w:t>
      </w:r>
      <w:r>
        <w:t>taka odnosno od Grada (-35.741,17 EUR) i MZOM-a (-128.230,31 EUR).</w:t>
      </w:r>
    </w:p>
    <w:p w:rsidR="00A86AAE" w:rsidRDefault="009056BE">
      <w:r>
        <w:t>Višak je ostvaren od donacija (869,57 EUR) i vlastitih prihoda (16.858,52 EUR).</w:t>
      </w:r>
    </w:p>
    <w:p w:rsidR="00A86AAE" w:rsidRDefault="009056BE">
      <w:r>
        <w:lastRenderedPageBreak/>
        <w:t>Manjak za produženi boravak jednak je iznosu potraživanja od roditelja (-3.602,36).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12.109,33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Ugasili smo vlastiti ž-r i prešli u sustav jedinstvene riznice Grada Splita.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104.364,48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112.487,61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Dodatne usluge u obrazovanju odnose se na učeničku prehranu u sklopu produženog boravka i onu koju financira MZOM te osiguranje i prijevoz učenika.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74.342,13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Podatak se odnosi na ispravak vrijednosti imovine sukladno čl. 121. novog Pravilnika.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2.710,88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301,0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 xml:space="preserve">Povećanje se odnosi na izradu katedri u vlastitoj režiji, a smanjenje na isknjižavanje pogrešno unesene imovine u sklopu projekta MZOM-a Cjelovita </w:t>
      </w:r>
      <w:proofErr w:type="spellStart"/>
      <w:r>
        <w:t>kurikularna</w:t>
      </w:r>
      <w:proofErr w:type="spellEnd"/>
      <w:r>
        <w:t xml:space="preserve"> reforma (CKR).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Dospjele obveze odnose se na jedan račun s kratkim rokom dospijeća. Kako smo ugasili svoj ž-r i ušli u sustav jedinstvene riznice više ne možemo izvršiti plaćanje u kratkom roku.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86A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A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A86A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AAE" w:rsidRDefault="009056B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AAE" w:rsidRDefault="00A86AAE">
      <w:pPr>
        <w:spacing w:after="0"/>
      </w:pPr>
    </w:p>
    <w:p w:rsidR="00A86AAE" w:rsidRDefault="009056BE">
      <w:r>
        <w:t>Međuproračunske obveze uključuju obveze koje se evidentiraju na kontu 27612 odnosno obveze za bolovanja koja refundira HZZO (2.940,84 EUR) i višak od učeničke prehrane (480,28 EUR) koji predstavlja obvezu za povrat u državni proračun sukladno čl. 5. Odluke</w:t>
      </w:r>
      <w:r>
        <w:t xml:space="preserve"> o kriterijima i načinu financiranja, odnosno sufinanciranja troškova prehrane za učenike osnovnih škola za šk. god. 2025./2026. (NN 108/25).</w:t>
      </w:r>
    </w:p>
    <w:p w:rsidR="00A86AAE" w:rsidRDefault="00A86AAE"/>
    <w:p w:rsidR="00A86AAE" w:rsidRDefault="009056BE">
      <w:pPr>
        <w:keepNext/>
        <w:spacing w:line="240" w:lineRule="auto"/>
        <w:jc w:val="center"/>
      </w:pPr>
      <w:r>
        <w:rPr>
          <w:sz w:val="28"/>
        </w:rPr>
        <w:t>Bilješka 16.</w:t>
      </w:r>
    </w:p>
    <w:p w:rsidR="00A86AAE" w:rsidRDefault="009056BE">
      <w:pPr>
        <w:spacing w:line="240" w:lineRule="auto"/>
        <w:jc w:val="both"/>
      </w:pPr>
      <w:r>
        <w:rPr>
          <w:b/>
        </w:rPr>
        <w:t>EU izvještaj</w:t>
      </w:r>
    </w:p>
    <w:p w:rsidR="00A86AAE" w:rsidRDefault="009056BE">
      <w:r>
        <w:t>Izvještaj se odnosi na EU projekt "S pomoćnikom mogu bolje 7" čiji je nositelj Grad Spl</w:t>
      </w:r>
      <w:r>
        <w:t>it.</w:t>
      </w:r>
    </w:p>
    <w:p w:rsidR="00A86AAE" w:rsidRDefault="00A86AAE"/>
    <w:p w:rsidR="009056BE" w:rsidRDefault="009056BE"/>
    <w:p w:rsidR="009056BE" w:rsidRDefault="009056BE"/>
    <w:p w:rsidR="009056BE" w:rsidRDefault="009056BE"/>
    <w:p w:rsidR="009056BE" w:rsidRDefault="009056BE">
      <w:r>
        <w:t>Voditeljica računovodstva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9056BE" w:rsidRDefault="009056BE"/>
    <w:p w:rsidR="009056BE" w:rsidRDefault="009056BE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9056BE" w:rsidRDefault="009056BE">
      <w:r>
        <w:t xml:space="preserve">Dijana </w:t>
      </w:r>
      <w:proofErr w:type="spellStart"/>
      <w:r>
        <w:t>Šućur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Katarina Zelić, dipl. uč.</w:t>
      </w:r>
      <w:bookmarkStart w:id="0" w:name="_GoBack"/>
      <w:bookmarkEnd w:id="0"/>
    </w:p>
    <w:sectPr w:rsidR="00905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6AAE"/>
    <w:rsid w:val="009056BE"/>
    <w:rsid w:val="00A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C5AA"/>
  <w15:docId w15:val="{6EDDBE87-BF63-4C6D-A3DD-7913C19D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1140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2026-02-02T08:19:00Z</dcterms:created>
  <dcterms:modified xsi:type="dcterms:W3CDTF">2026-02-02T08:20:00Z</dcterms:modified>
</cp:coreProperties>
</file>